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湖北省咸宁市中级人民法院</w:t>
      </w:r>
    </w:p>
    <w:p>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2022年度部门决算</w:t>
      </w:r>
    </w:p>
    <w:p>
      <w:pPr>
        <w:shd w:val="clear" w:color="auto" w:fill="FFFFFF"/>
        <w:spacing w:before="240" w:after="240" w:line="360" w:lineRule="auto"/>
        <w:ind w:firstLine="3514" w:firstLineChars="976"/>
        <w:rPr>
          <w:rFonts w:ascii="仿宋" w:hAnsi="仿宋" w:eastAsia="仿宋"/>
          <w:highlight w:val="none"/>
        </w:rPr>
      </w:pPr>
      <w:r>
        <w:rPr>
          <w:rFonts w:hint="eastAsia" w:ascii="方正小标宋简体" w:hAnsi="方正小标宋简体" w:eastAsia="方正小标宋简体" w:cs="方正小标宋简体"/>
          <w:sz w:val="36"/>
          <w:szCs w:val="36"/>
          <w:highlight w:val="none"/>
        </w:rPr>
        <w:t>目    录</w:t>
      </w:r>
    </w:p>
    <w:p>
      <w:pPr>
        <w:pStyle w:val="15"/>
        <w:tabs>
          <w:tab w:val="right" w:leader="dot" w:pos="8296"/>
        </w:tabs>
        <w:rPr>
          <w:rFonts w:ascii="仿宋" w:hAnsi="仿宋" w:eastAsia="仿宋"/>
          <w:b/>
          <w:kern w:val="2"/>
          <w:sz w:val="28"/>
          <w:szCs w:val="28"/>
          <w:highlight w:val="none"/>
        </w:rPr>
      </w:pPr>
      <w:r>
        <w:rPr>
          <w:rFonts w:ascii="仿宋" w:hAnsi="仿宋" w:eastAsia="仿宋"/>
          <w:sz w:val="28"/>
          <w:szCs w:val="28"/>
          <w:highlight w:val="none"/>
        </w:rPr>
        <w:fldChar w:fldCharType="begin"/>
      </w:r>
      <w:r>
        <w:rPr>
          <w:rFonts w:ascii="仿宋" w:hAnsi="仿宋" w:eastAsia="仿宋"/>
          <w:sz w:val="28"/>
          <w:szCs w:val="28"/>
          <w:highlight w:val="none"/>
        </w:rPr>
        <w:instrText xml:space="preserve"> TOC \o "1-3" \h \z \u </w:instrText>
      </w:r>
      <w:r>
        <w:rPr>
          <w:rFonts w:ascii="仿宋" w:hAnsi="仿宋" w:eastAsia="仿宋"/>
          <w:sz w:val="28"/>
          <w:szCs w:val="28"/>
          <w:highlight w:val="none"/>
        </w:rPr>
        <w:fldChar w:fldCharType="separate"/>
      </w:r>
      <w:r>
        <w:rPr>
          <w:highlight w:val="none"/>
        </w:rPr>
        <w:fldChar w:fldCharType="begin"/>
      </w:r>
      <w:r>
        <w:rPr>
          <w:highlight w:val="none"/>
        </w:rPr>
        <w:instrText xml:space="preserve">HYPERLINK  \l "_Toc143592628" </w:instrText>
      </w:r>
      <w:r>
        <w:rPr>
          <w:highlight w:val="none"/>
        </w:rPr>
        <w:fldChar w:fldCharType="separate"/>
      </w:r>
      <w:r>
        <w:rPr>
          <w:rStyle w:val="23"/>
          <w:rFonts w:hint="eastAsia" w:ascii="仿宋" w:hAnsi="仿宋" w:eastAsia="仿宋"/>
          <w:b/>
          <w:sz w:val="28"/>
          <w:szCs w:val="28"/>
          <w:highlight w:val="none"/>
        </w:rPr>
        <w:t>第一部分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湖北省咸宁市中级人民法院概况</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_Toc143592628 \h </w:instrText>
      </w:r>
      <w:r>
        <w:rPr>
          <w:rFonts w:ascii="仿宋" w:hAnsi="仿宋" w:eastAsia="仿宋"/>
          <w:b/>
          <w:sz w:val="28"/>
          <w:szCs w:val="28"/>
          <w:highlight w:val="none"/>
        </w:rPr>
        <w:fldChar w:fldCharType="separate"/>
      </w:r>
      <w:r>
        <w:rPr>
          <w:rFonts w:ascii="仿宋" w:hAnsi="仿宋" w:eastAsia="仿宋"/>
          <w:b/>
          <w:sz w:val="28"/>
          <w:szCs w:val="28"/>
          <w:highlight w:val="none"/>
        </w:rPr>
        <w:t>3</w:t>
      </w:r>
      <w:r>
        <w:rPr>
          <w:rFonts w:ascii="仿宋" w:hAnsi="仿宋" w:eastAsia="仿宋"/>
          <w:b/>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"_Toc143592629" </w:instrText>
      </w:r>
      <w:r>
        <w:rPr>
          <w:highlight w:val="none"/>
        </w:rPr>
        <w:fldChar w:fldCharType="separate"/>
      </w:r>
      <w:r>
        <w:rPr>
          <w:rStyle w:val="23"/>
          <w:rFonts w:hint="eastAsia" w:ascii="仿宋" w:hAnsi="仿宋" w:eastAsia="仿宋"/>
          <w:sz w:val="28"/>
          <w:szCs w:val="28"/>
          <w:highlight w:val="none"/>
        </w:rPr>
        <w:t>一、部门主要职责</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_Toc143592629 \h </w:instrText>
      </w:r>
      <w:r>
        <w:rPr>
          <w:rFonts w:ascii="仿宋" w:hAnsi="仿宋" w:eastAsia="仿宋"/>
          <w:sz w:val="28"/>
          <w:szCs w:val="28"/>
          <w:highlight w:val="none"/>
        </w:rPr>
        <w:fldChar w:fldCharType="separate"/>
      </w:r>
      <w:r>
        <w:rPr>
          <w:rFonts w:ascii="仿宋" w:hAnsi="仿宋" w:eastAsia="仿宋"/>
          <w:sz w:val="28"/>
          <w:szCs w:val="28"/>
          <w:highlight w:val="none"/>
        </w:rPr>
        <w:t>3</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"_Toc143592630" </w:instrText>
      </w:r>
      <w:r>
        <w:rPr>
          <w:highlight w:val="none"/>
        </w:rPr>
        <w:fldChar w:fldCharType="separate"/>
      </w:r>
      <w:r>
        <w:rPr>
          <w:rStyle w:val="23"/>
          <w:rFonts w:hint="eastAsia" w:ascii="仿宋" w:hAnsi="仿宋" w:eastAsia="仿宋"/>
          <w:sz w:val="28"/>
          <w:szCs w:val="28"/>
          <w:highlight w:val="none"/>
        </w:rPr>
        <w:t>二、机构设置情况</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_Toc143592630 \h </w:instrText>
      </w:r>
      <w:r>
        <w:rPr>
          <w:rFonts w:ascii="仿宋" w:hAnsi="仿宋" w:eastAsia="仿宋"/>
          <w:sz w:val="28"/>
          <w:szCs w:val="28"/>
          <w:highlight w:val="none"/>
        </w:rPr>
        <w:fldChar w:fldCharType="separate"/>
      </w:r>
      <w:r>
        <w:rPr>
          <w:rFonts w:ascii="仿宋" w:hAnsi="仿宋" w:eastAsia="仿宋"/>
          <w:sz w:val="28"/>
          <w:szCs w:val="28"/>
          <w:highlight w:val="none"/>
        </w:rPr>
        <w:t>4</w:t>
      </w:r>
      <w:r>
        <w:rPr>
          <w:rFonts w:ascii="仿宋" w:hAnsi="仿宋" w:eastAsia="仿宋"/>
          <w:sz w:val="28"/>
          <w:szCs w:val="28"/>
          <w:highlight w:val="none"/>
        </w:rPr>
        <w:fldChar w:fldCharType="end"/>
      </w:r>
      <w:r>
        <w:rPr>
          <w:highlight w:val="none"/>
        </w:rPr>
        <w:fldChar w:fldCharType="end"/>
      </w:r>
    </w:p>
    <w:p>
      <w:pPr>
        <w:pStyle w:val="15"/>
        <w:tabs>
          <w:tab w:val="right" w:leader="dot" w:pos="8296"/>
        </w:tabs>
        <w:rPr>
          <w:rFonts w:ascii="仿宋" w:hAnsi="仿宋" w:eastAsia="仿宋"/>
          <w:b/>
          <w:kern w:val="2"/>
          <w:sz w:val="28"/>
          <w:szCs w:val="28"/>
          <w:highlight w:val="none"/>
        </w:rPr>
      </w:pPr>
      <w:r>
        <w:rPr>
          <w:highlight w:val="none"/>
        </w:rPr>
        <w:fldChar w:fldCharType="begin"/>
      </w:r>
      <w:r>
        <w:rPr>
          <w:highlight w:val="none"/>
        </w:rPr>
        <w:instrText xml:space="preserve">HYPERLINK  \l "_Toc143592631" </w:instrText>
      </w:r>
      <w:r>
        <w:rPr>
          <w:highlight w:val="none"/>
        </w:rPr>
        <w:fldChar w:fldCharType="separate"/>
      </w:r>
      <w:r>
        <w:rPr>
          <w:rStyle w:val="23"/>
          <w:rFonts w:hint="eastAsia" w:ascii="仿宋" w:hAnsi="仿宋" w:eastAsia="仿宋"/>
          <w:b/>
          <w:sz w:val="28"/>
          <w:szCs w:val="28"/>
          <w:highlight w:val="none"/>
        </w:rPr>
        <w:t>第二部分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湖北省咸宁市中级人民法院</w:t>
      </w:r>
      <w:r>
        <w:rPr>
          <w:rStyle w:val="23"/>
          <w:rFonts w:ascii="仿宋" w:hAnsi="仿宋" w:eastAsia="仿宋"/>
          <w:b/>
          <w:sz w:val="28"/>
          <w:szCs w:val="28"/>
          <w:highlight w:val="none"/>
        </w:rPr>
        <w:t>2022</w:t>
      </w:r>
      <w:r>
        <w:rPr>
          <w:rStyle w:val="23"/>
          <w:rFonts w:hint="eastAsia" w:ascii="仿宋" w:hAnsi="仿宋" w:eastAsia="仿宋"/>
          <w:b/>
          <w:sz w:val="28"/>
          <w:szCs w:val="28"/>
          <w:highlight w:val="none"/>
        </w:rPr>
        <w:t>年度部门决算表</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_Toc143592631 \h </w:instrText>
      </w:r>
      <w:r>
        <w:rPr>
          <w:rFonts w:ascii="仿宋" w:hAnsi="仿宋" w:eastAsia="仿宋"/>
          <w:b/>
          <w:sz w:val="28"/>
          <w:szCs w:val="28"/>
          <w:highlight w:val="none"/>
        </w:rPr>
        <w:fldChar w:fldCharType="separate"/>
      </w:r>
      <w:r>
        <w:rPr>
          <w:rFonts w:ascii="仿宋" w:hAnsi="仿宋" w:eastAsia="仿宋"/>
          <w:b/>
          <w:sz w:val="28"/>
          <w:szCs w:val="28"/>
          <w:highlight w:val="none"/>
        </w:rPr>
        <w:t>5</w:t>
      </w:r>
      <w:r>
        <w:rPr>
          <w:rFonts w:ascii="仿宋" w:hAnsi="仿宋" w:eastAsia="仿宋"/>
          <w:b/>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"_Toc143592632" </w:instrText>
      </w:r>
      <w:r>
        <w:rPr>
          <w:highlight w:val="none"/>
        </w:rPr>
        <w:fldChar w:fldCharType="separate"/>
      </w:r>
      <w:r>
        <w:rPr>
          <w:rStyle w:val="23"/>
          <w:rFonts w:hint="eastAsia" w:ascii="仿宋" w:hAnsi="仿宋" w:eastAsia="仿宋"/>
          <w:sz w:val="28"/>
          <w:szCs w:val="28"/>
          <w:highlight w:val="none"/>
        </w:rPr>
        <w:t>一、收入支出决算总表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_Toc143592632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"_Toc143592633" </w:instrText>
      </w:r>
      <w:r>
        <w:rPr>
          <w:highlight w:val="none"/>
        </w:rPr>
        <w:fldChar w:fldCharType="separate"/>
      </w:r>
      <w:r>
        <w:rPr>
          <w:rStyle w:val="23"/>
          <w:rFonts w:hint="eastAsia" w:ascii="仿宋" w:hAnsi="仿宋" w:eastAsia="仿宋"/>
          <w:sz w:val="28"/>
          <w:szCs w:val="28"/>
          <w:highlight w:val="none"/>
        </w:rPr>
        <w:t>二、收入决算表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_Toc143592633 \h </w:instrText>
      </w:r>
      <w:r>
        <w:rPr>
          <w:rFonts w:ascii="仿宋" w:hAnsi="仿宋" w:eastAsia="仿宋"/>
          <w:sz w:val="28"/>
          <w:szCs w:val="28"/>
          <w:highlight w:val="none"/>
        </w:rPr>
        <w:fldChar w:fldCharType="separate"/>
      </w:r>
      <w:r>
        <w:rPr>
          <w:rFonts w:ascii="仿宋" w:hAnsi="仿宋" w:eastAsia="仿宋"/>
          <w:sz w:val="28"/>
          <w:szCs w:val="28"/>
          <w:highlight w:val="none"/>
        </w:rPr>
        <w:t>6</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"_Toc143592634" </w:instrText>
      </w:r>
      <w:r>
        <w:rPr>
          <w:highlight w:val="none"/>
        </w:rPr>
        <w:fldChar w:fldCharType="separate"/>
      </w:r>
      <w:r>
        <w:rPr>
          <w:rStyle w:val="23"/>
          <w:rFonts w:hint="eastAsia" w:ascii="仿宋" w:hAnsi="仿宋" w:eastAsia="仿宋"/>
          <w:sz w:val="28"/>
          <w:szCs w:val="28"/>
          <w:highlight w:val="none"/>
        </w:rPr>
        <w:t>三、支出决算表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_Toc143592634 \h </w:instrText>
      </w:r>
      <w:r>
        <w:rPr>
          <w:rFonts w:ascii="仿宋" w:hAnsi="仿宋" w:eastAsia="仿宋"/>
          <w:sz w:val="28"/>
          <w:szCs w:val="28"/>
          <w:highlight w:val="none"/>
        </w:rPr>
        <w:fldChar w:fldCharType="separate"/>
      </w:r>
      <w:r>
        <w:rPr>
          <w:rFonts w:ascii="仿宋" w:hAnsi="仿宋" w:eastAsia="仿宋"/>
          <w:sz w:val="28"/>
          <w:szCs w:val="28"/>
          <w:highlight w:val="none"/>
        </w:rPr>
        <w:t>6</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"_Toc143592635" </w:instrText>
      </w:r>
      <w:r>
        <w:rPr>
          <w:highlight w:val="none"/>
        </w:rPr>
        <w:fldChar w:fldCharType="separate"/>
      </w:r>
      <w:r>
        <w:rPr>
          <w:rStyle w:val="23"/>
          <w:rFonts w:hint="eastAsia" w:ascii="仿宋" w:hAnsi="仿宋" w:eastAsia="仿宋"/>
          <w:sz w:val="28"/>
          <w:szCs w:val="28"/>
          <w:highlight w:val="none"/>
        </w:rPr>
        <w:t>四、财政拨款收入支出决算总表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_Toc143592635 \h </w:instrText>
      </w:r>
      <w:r>
        <w:rPr>
          <w:rFonts w:ascii="仿宋" w:hAnsi="仿宋" w:eastAsia="仿宋"/>
          <w:sz w:val="28"/>
          <w:szCs w:val="28"/>
          <w:highlight w:val="none"/>
        </w:rPr>
        <w:fldChar w:fldCharType="separate"/>
      </w:r>
      <w:r>
        <w:rPr>
          <w:rFonts w:ascii="仿宋" w:hAnsi="仿宋" w:eastAsia="仿宋"/>
          <w:sz w:val="28"/>
          <w:szCs w:val="28"/>
          <w:highlight w:val="none"/>
        </w:rPr>
        <w:t>7</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"_Toc143592636" </w:instrText>
      </w:r>
      <w:r>
        <w:rPr>
          <w:highlight w:val="none"/>
        </w:rPr>
        <w:fldChar w:fldCharType="separate"/>
      </w:r>
      <w:r>
        <w:rPr>
          <w:rStyle w:val="23"/>
          <w:rFonts w:hint="eastAsia" w:ascii="仿宋" w:hAnsi="仿宋" w:eastAsia="仿宋"/>
          <w:sz w:val="28"/>
          <w:szCs w:val="28"/>
          <w:highlight w:val="none"/>
        </w:rPr>
        <w:t>五、一般公共预算财政拨款支出决算表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_Toc143592636 \h </w:instrText>
      </w:r>
      <w:r>
        <w:rPr>
          <w:rFonts w:ascii="仿宋" w:hAnsi="仿宋" w:eastAsia="仿宋"/>
          <w:sz w:val="28"/>
          <w:szCs w:val="28"/>
          <w:highlight w:val="none"/>
        </w:rPr>
        <w:fldChar w:fldCharType="separate"/>
      </w:r>
      <w:r>
        <w:rPr>
          <w:rFonts w:ascii="仿宋" w:hAnsi="仿宋" w:eastAsia="仿宋"/>
          <w:sz w:val="28"/>
          <w:szCs w:val="28"/>
          <w:highlight w:val="none"/>
        </w:rPr>
        <w:t>8</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"_Toc143592637" </w:instrText>
      </w:r>
      <w:r>
        <w:rPr>
          <w:highlight w:val="none"/>
        </w:rPr>
        <w:fldChar w:fldCharType="separate"/>
      </w:r>
      <w:r>
        <w:rPr>
          <w:rStyle w:val="23"/>
          <w:rFonts w:hint="eastAsia" w:ascii="仿宋" w:hAnsi="仿宋" w:eastAsia="仿宋"/>
          <w:sz w:val="28"/>
          <w:szCs w:val="28"/>
          <w:highlight w:val="none"/>
        </w:rPr>
        <w:t>六、一般公共预算财政拨款基本支出决算明细表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_Toc143592637 \h </w:instrText>
      </w:r>
      <w:r>
        <w:rPr>
          <w:rFonts w:ascii="仿宋" w:hAnsi="仿宋" w:eastAsia="仿宋"/>
          <w:sz w:val="28"/>
          <w:szCs w:val="28"/>
          <w:highlight w:val="none"/>
        </w:rPr>
        <w:fldChar w:fldCharType="separate"/>
      </w:r>
      <w:r>
        <w:rPr>
          <w:rFonts w:ascii="仿宋" w:hAnsi="仿宋" w:eastAsia="仿宋"/>
          <w:sz w:val="28"/>
          <w:szCs w:val="28"/>
          <w:highlight w:val="none"/>
        </w:rPr>
        <w:t>8</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"_Toc143592638" </w:instrText>
      </w:r>
      <w:r>
        <w:rPr>
          <w:highlight w:val="none"/>
        </w:rPr>
        <w:fldChar w:fldCharType="separate"/>
      </w:r>
      <w:r>
        <w:rPr>
          <w:rStyle w:val="23"/>
          <w:rFonts w:hint="eastAsia" w:ascii="仿宋" w:hAnsi="仿宋" w:eastAsia="仿宋"/>
          <w:sz w:val="28"/>
          <w:szCs w:val="28"/>
          <w:highlight w:val="none"/>
        </w:rPr>
        <w:t>七、政府性基金预算财政拨款收入支出决算表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_Toc143592638 \h </w:instrText>
      </w:r>
      <w:r>
        <w:rPr>
          <w:rFonts w:ascii="仿宋" w:hAnsi="仿宋" w:eastAsia="仿宋"/>
          <w:sz w:val="28"/>
          <w:szCs w:val="28"/>
          <w:highlight w:val="none"/>
        </w:rPr>
        <w:fldChar w:fldCharType="separate"/>
      </w:r>
      <w:r>
        <w:rPr>
          <w:rFonts w:ascii="仿宋" w:hAnsi="仿宋" w:eastAsia="仿宋"/>
          <w:sz w:val="28"/>
          <w:szCs w:val="28"/>
          <w:highlight w:val="none"/>
        </w:rPr>
        <w:t>9</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"_Toc143592639" </w:instrText>
      </w:r>
      <w:r>
        <w:rPr>
          <w:highlight w:val="none"/>
        </w:rPr>
        <w:fldChar w:fldCharType="separate"/>
      </w:r>
      <w:r>
        <w:rPr>
          <w:rStyle w:val="23"/>
          <w:rFonts w:hint="eastAsia" w:ascii="仿宋" w:hAnsi="仿宋" w:eastAsia="仿宋"/>
          <w:sz w:val="28"/>
          <w:szCs w:val="28"/>
          <w:highlight w:val="none"/>
        </w:rPr>
        <w:t>八、国有资本经营预算财政拨款支出决算表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_Toc143592639 \h </w:instrText>
      </w:r>
      <w:r>
        <w:rPr>
          <w:rFonts w:ascii="仿宋" w:hAnsi="仿宋" w:eastAsia="仿宋"/>
          <w:sz w:val="28"/>
          <w:szCs w:val="28"/>
          <w:highlight w:val="none"/>
        </w:rPr>
        <w:fldChar w:fldCharType="separate"/>
      </w:r>
      <w:r>
        <w:rPr>
          <w:rFonts w:ascii="仿宋" w:hAnsi="仿宋" w:eastAsia="仿宋"/>
          <w:sz w:val="28"/>
          <w:szCs w:val="28"/>
          <w:highlight w:val="none"/>
        </w:rPr>
        <w:t>9</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"_Toc143592640" </w:instrText>
      </w:r>
      <w:r>
        <w:rPr>
          <w:highlight w:val="none"/>
        </w:rPr>
        <w:fldChar w:fldCharType="separate"/>
      </w:r>
      <w:r>
        <w:rPr>
          <w:rStyle w:val="23"/>
          <w:rFonts w:hint="eastAsia" w:ascii="仿宋" w:hAnsi="仿宋" w:eastAsia="仿宋"/>
          <w:sz w:val="28"/>
          <w:szCs w:val="28"/>
          <w:highlight w:val="none"/>
        </w:rPr>
        <w:t>九、财政拨款“三公”经费支出决算表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_Toc143592640 \h </w:instrText>
      </w:r>
      <w:r>
        <w:rPr>
          <w:rFonts w:ascii="仿宋" w:hAnsi="仿宋" w:eastAsia="仿宋"/>
          <w:sz w:val="28"/>
          <w:szCs w:val="28"/>
          <w:highlight w:val="none"/>
        </w:rPr>
        <w:fldChar w:fldCharType="separate"/>
      </w:r>
      <w:r>
        <w:rPr>
          <w:rFonts w:ascii="仿宋" w:hAnsi="仿宋" w:eastAsia="仿宋"/>
          <w:sz w:val="28"/>
          <w:szCs w:val="28"/>
          <w:highlight w:val="none"/>
        </w:rPr>
        <w:t>9</w:t>
      </w:r>
      <w:r>
        <w:rPr>
          <w:rFonts w:ascii="仿宋" w:hAnsi="仿宋" w:eastAsia="仿宋"/>
          <w:sz w:val="28"/>
          <w:szCs w:val="28"/>
          <w:highlight w:val="none"/>
        </w:rPr>
        <w:fldChar w:fldCharType="end"/>
      </w:r>
      <w:r>
        <w:rPr>
          <w:highlight w:val="none"/>
        </w:rPr>
        <w:fldChar w:fldCharType="end"/>
      </w:r>
    </w:p>
    <w:p>
      <w:pPr>
        <w:pStyle w:val="15"/>
        <w:tabs>
          <w:tab w:val="right" w:leader="dot" w:pos="8296"/>
        </w:tabs>
        <w:rPr>
          <w:rFonts w:ascii="仿宋" w:hAnsi="仿宋" w:eastAsia="仿宋"/>
          <w:b/>
          <w:kern w:val="2"/>
          <w:sz w:val="28"/>
          <w:szCs w:val="28"/>
          <w:highlight w:val="none"/>
        </w:rPr>
      </w:pPr>
      <w:r>
        <w:rPr>
          <w:highlight w:val="none"/>
        </w:rPr>
        <w:fldChar w:fldCharType="begin"/>
      </w:r>
      <w:r>
        <w:rPr>
          <w:highlight w:val="none"/>
        </w:rPr>
        <w:instrText xml:space="preserve">HYPERLINK  \l "_Toc143592641" </w:instrText>
      </w:r>
      <w:r>
        <w:rPr>
          <w:highlight w:val="none"/>
        </w:rPr>
        <w:fldChar w:fldCharType="separate"/>
      </w:r>
      <w:r>
        <w:rPr>
          <w:rStyle w:val="23"/>
          <w:rFonts w:hint="eastAsia" w:ascii="仿宋" w:hAnsi="仿宋" w:eastAsia="仿宋"/>
          <w:b/>
          <w:sz w:val="28"/>
          <w:szCs w:val="28"/>
          <w:highlight w:val="none"/>
        </w:rPr>
        <w:t>第三部分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湖北省咸宁市中级人民法院</w:t>
      </w:r>
      <w:r>
        <w:rPr>
          <w:rStyle w:val="23"/>
          <w:rFonts w:ascii="仿宋" w:hAnsi="仿宋" w:eastAsia="仿宋"/>
          <w:b/>
          <w:sz w:val="28"/>
          <w:szCs w:val="28"/>
          <w:highlight w:val="none"/>
        </w:rPr>
        <w:t>2022</w:t>
      </w:r>
      <w:r>
        <w:rPr>
          <w:rStyle w:val="23"/>
          <w:rFonts w:hint="eastAsia" w:ascii="仿宋" w:hAnsi="仿宋" w:eastAsia="仿宋"/>
          <w:b/>
          <w:sz w:val="28"/>
          <w:szCs w:val="28"/>
          <w:highlight w:val="none"/>
        </w:rPr>
        <w:t>年度部门决算情况说明</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_Toc143592641 \h </w:instrText>
      </w:r>
      <w:r>
        <w:rPr>
          <w:rFonts w:ascii="仿宋" w:hAnsi="仿宋" w:eastAsia="仿宋"/>
          <w:b/>
          <w:sz w:val="28"/>
          <w:szCs w:val="28"/>
          <w:highlight w:val="none"/>
        </w:rPr>
        <w:fldChar w:fldCharType="separate"/>
      </w:r>
      <w:r>
        <w:rPr>
          <w:rFonts w:ascii="仿宋" w:hAnsi="仿宋" w:eastAsia="仿宋"/>
          <w:b/>
          <w:sz w:val="28"/>
          <w:szCs w:val="28"/>
          <w:highlight w:val="none"/>
        </w:rPr>
        <w:t>10</w:t>
      </w:r>
      <w:r>
        <w:rPr>
          <w:rFonts w:ascii="仿宋" w:hAnsi="仿宋" w:eastAsia="仿宋"/>
          <w:b/>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"_Toc143592642" </w:instrText>
      </w:r>
      <w:r>
        <w:rPr>
          <w:highlight w:val="none"/>
        </w:rPr>
        <w:fldChar w:fldCharType="separate"/>
      </w:r>
      <w:r>
        <w:rPr>
          <w:rStyle w:val="23"/>
          <w:rFonts w:hint="eastAsia" w:ascii="仿宋" w:hAnsi="仿宋" w:eastAsia="仿宋"/>
          <w:sz w:val="28"/>
          <w:szCs w:val="28"/>
          <w:highlight w:val="none"/>
        </w:rPr>
        <w:t>一、收入支出决算总体情况说明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_Toc143592642 \h </w:instrText>
      </w:r>
      <w:r>
        <w:rPr>
          <w:rFonts w:ascii="仿宋" w:hAnsi="仿宋" w:eastAsia="仿宋"/>
          <w:sz w:val="28"/>
          <w:szCs w:val="28"/>
          <w:highlight w:val="none"/>
        </w:rPr>
        <w:fldChar w:fldCharType="separate"/>
      </w:r>
      <w:r>
        <w:rPr>
          <w:rFonts w:ascii="仿宋" w:hAnsi="仿宋" w:eastAsia="仿宋"/>
          <w:sz w:val="28"/>
          <w:szCs w:val="28"/>
          <w:highlight w:val="none"/>
        </w:rPr>
        <w:t>10</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"_Toc143592643" </w:instrText>
      </w:r>
      <w:r>
        <w:rPr>
          <w:highlight w:val="none"/>
        </w:rPr>
        <w:fldChar w:fldCharType="separate"/>
      </w:r>
      <w:r>
        <w:rPr>
          <w:rStyle w:val="23"/>
          <w:rFonts w:hint="eastAsia" w:ascii="仿宋" w:hAnsi="仿宋" w:eastAsia="仿宋"/>
          <w:sz w:val="28"/>
          <w:szCs w:val="28"/>
          <w:highlight w:val="none"/>
        </w:rPr>
        <w:t>二、收入决算情况说明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_Toc143592643 \h </w:instrText>
      </w:r>
      <w:r>
        <w:rPr>
          <w:rFonts w:ascii="仿宋" w:hAnsi="仿宋" w:eastAsia="仿宋"/>
          <w:sz w:val="28"/>
          <w:szCs w:val="28"/>
          <w:highlight w:val="none"/>
        </w:rPr>
        <w:fldChar w:fldCharType="separate"/>
      </w:r>
      <w:r>
        <w:rPr>
          <w:rFonts w:ascii="仿宋" w:hAnsi="仿宋" w:eastAsia="仿宋"/>
          <w:sz w:val="28"/>
          <w:szCs w:val="28"/>
          <w:highlight w:val="none"/>
        </w:rPr>
        <w:t>10</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"_Toc143592644" </w:instrText>
      </w:r>
      <w:r>
        <w:rPr>
          <w:highlight w:val="none"/>
        </w:rPr>
        <w:fldChar w:fldCharType="separate"/>
      </w:r>
      <w:r>
        <w:rPr>
          <w:rStyle w:val="23"/>
          <w:rFonts w:hint="eastAsia" w:ascii="仿宋" w:hAnsi="仿宋" w:eastAsia="仿宋"/>
          <w:sz w:val="28"/>
          <w:szCs w:val="28"/>
          <w:highlight w:val="none"/>
        </w:rPr>
        <w:t>三、支出决算情况说明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_Toc143592644 \h </w:instrText>
      </w:r>
      <w:r>
        <w:rPr>
          <w:rFonts w:ascii="仿宋" w:hAnsi="仿宋" w:eastAsia="仿宋"/>
          <w:sz w:val="28"/>
          <w:szCs w:val="28"/>
          <w:highlight w:val="none"/>
        </w:rPr>
        <w:fldChar w:fldCharType="separate"/>
      </w:r>
      <w:r>
        <w:rPr>
          <w:rFonts w:ascii="仿宋" w:hAnsi="仿宋" w:eastAsia="仿宋"/>
          <w:sz w:val="28"/>
          <w:szCs w:val="28"/>
          <w:highlight w:val="none"/>
        </w:rPr>
        <w:t>11</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"_Toc143592645" </w:instrText>
      </w:r>
      <w:r>
        <w:rPr>
          <w:highlight w:val="none"/>
        </w:rPr>
        <w:fldChar w:fldCharType="separate"/>
      </w:r>
      <w:r>
        <w:rPr>
          <w:rStyle w:val="23"/>
          <w:rFonts w:hint="eastAsia" w:ascii="仿宋" w:hAnsi="仿宋" w:eastAsia="仿宋"/>
          <w:sz w:val="28"/>
          <w:szCs w:val="28"/>
          <w:highlight w:val="none"/>
        </w:rPr>
        <w:t>四、财政拨款收入支出决算总体情况说明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_Toc143592645 \h </w:instrText>
      </w:r>
      <w:r>
        <w:rPr>
          <w:rFonts w:ascii="仿宋" w:hAnsi="仿宋" w:eastAsia="仿宋"/>
          <w:sz w:val="28"/>
          <w:szCs w:val="28"/>
          <w:highlight w:val="none"/>
        </w:rPr>
        <w:fldChar w:fldCharType="separate"/>
      </w:r>
      <w:r>
        <w:rPr>
          <w:rFonts w:ascii="仿宋" w:hAnsi="仿宋" w:eastAsia="仿宋"/>
          <w:sz w:val="28"/>
          <w:szCs w:val="28"/>
          <w:highlight w:val="none"/>
        </w:rPr>
        <w:t>12</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"_Toc143592646" </w:instrText>
      </w:r>
      <w:r>
        <w:rPr>
          <w:highlight w:val="none"/>
        </w:rPr>
        <w:fldChar w:fldCharType="separate"/>
      </w:r>
      <w:r>
        <w:rPr>
          <w:rStyle w:val="23"/>
          <w:rFonts w:hint="eastAsia" w:ascii="仿宋" w:hAnsi="仿宋" w:eastAsia="仿宋"/>
          <w:sz w:val="28"/>
          <w:szCs w:val="28"/>
          <w:highlight w:val="none"/>
        </w:rPr>
        <w:t>五、一般公共预算财政拨款支出决算情况说明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_Toc143592646 \h </w:instrText>
      </w:r>
      <w:r>
        <w:rPr>
          <w:rFonts w:ascii="仿宋" w:hAnsi="仿宋" w:eastAsia="仿宋"/>
          <w:sz w:val="28"/>
          <w:szCs w:val="28"/>
          <w:highlight w:val="none"/>
        </w:rPr>
        <w:fldChar w:fldCharType="separate"/>
      </w:r>
      <w:r>
        <w:rPr>
          <w:rFonts w:ascii="仿宋" w:hAnsi="仿宋" w:eastAsia="仿宋"/>
          <w:sz w:val="28"/>
          <w:szCs w:val="28"/>
          <w:highlight w:val="none"/>
        </w:rPr>
        <w:t>13</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"_Toc143592647" </w:instrText>
      </w:r>
      <w:r>
        <w:rPr>
          <w:highlight w:val="none"/>
        </w:rPr>
        <w:fldChar w:fldCharType="separate"/>
      </w:r>
      <w:r>
        <w:rPr>
          <w:rStyle w:val="23"/>
          <w:rFonts w:hint="eastAsia" w:ascii="仿宋" w:hAnsi="仿宋" w:eastAsia="仿宋"/>
          <w:sz w:val="28"/>
          <w:szCs w:val="28"/>
          <w:highlight w:val="none"/>
        </w:rPr>
        <w:t>六、一般公共预算财政拨款基本支出决算情况说明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_Toc143592647 \h </w:instrText>
      </w:r>
      <w:r>
        <w:rPr>
          <w:rFonts w:ascii="仿宋" w:hAnsi="仿宋" w:eastAsia="仿宋"/>
          <w:sz w:val="28"/>
          <w:szCs w:val="28"/>
          <w:highlight w:val="none"/>
        </w:rPr>
        <w:fldChar w:fldCharType="separate"/>
      </w:r>
      <w:r>
        <w:rPr>
          <w:rFonts w:ascii="仿宋" w:hAnsi="仿宋" w:eastAsia="仿宋"/>
          <w:sz w:val="28"/>
          <w:szCs w:val="28"/>
          <w:highlight w:val="none"/>
        </w:rPr>
        <w:t>14</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"_Toc143592648" </w:instrText>
      </w:r>
      <w:r>
        <w:rPr>
          <w:highlight w:val="none"/>
        </w:rPr>
        <w:fldChar w:fldCharType="separate"/>
      </w:r>
      <w:r>
        <w:rPr>
          <w:rStyle w:val="23"/>
          <w:rFonts w:hint="eastAsia" w:ascii="仿宋" w:hAnsi="仿宋" w:eastAsia="仿宋"/>
          <w:sz w:val="28"/>
          <w:szCs w:val="28"/>
          <w:highlight w:val="none"/>
        </w:rPr>
        <w:t>七、政府性基金预算财政拨款收入支出决算情况说明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_Toc143592648 \h </w:instrText>
      </w:r>
      <w:r>
        <w:rPr>
          <w:rFonts w:ascii="仿宋" w:hAnsi="仿宋" w:eastAsia="仿宋"/>
          <w:sz w:val="28"/>
          <w:szCs w:val="28"/>
          <w:highlight w:val="none"/>
        </w:rPr>
        <w:fldChar w:fldCharType="separate"/>
      </w:r>
      <w:r>
        <w:rPr>
          <w:rFonts w:ascii="仿宋" w:hAnsi="仿宋" w:eastAsia="仿宋"/>
          <w:sz w:val="28"/>
          <w:szCs w:val="28"/>
          <w:highlight w:val="none"/>
        </w:rPr>
        <w:t>15</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"_Toc143592649" </w:instrText>
      </w:r>
      <w:r>
        <w:rPr>
          <w:highlight w:val="none"/>
        </w:rPr>
        <w:fldChar w:fldCharType="separate"/>
      </w:r>
      <w:r>
        <w:rPr>
          <w:rStyle w:val="23"/>
          <w:rFonts w:hint="eastAsia" w:ascii="仿宋" w:hAnsi="仿宋" w:eastAsia="仿宋"/>
          <w:sz w:val="28"/>
          <w:szCs w:val="28"/>
          <w:highlight w:val="none"/>
        </w:rPr>
        <w:t>八、国有资本经营预算财政拨款支出决算情况说明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_Toc143592649 \h </w:instrText>
      </w:r>
      <w:r>
        <w:rPr>
          <w:rFonts w:ascii="仿宋" w:hAnsi="仿宋" w:eastAsia="仿宋"/>
          <w:sz w:val="28"/>
          <w:szCs w:val="28"/>
          <w:highlight w:val="none"/>
        </w:rPr>
        <w:fldChar w:fldCharType="separate"/>
      </w:r>
      <w:r>
        <w:rPr>
          <w:rFonts w:ascii="仿宋" w:hAnsi="仿宋" w:eastAsia="仿宋"/>
          <w:sz w:val="28"/>
          <w:szCs w:val="28"/>
          <w:highlight w:val="none"/>
        </w:rPr>
        <w:t>15</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"_Toc143592650" </w:instrText>
      </w:r>
      <w:r>
        <w:rPr>
          <w:highlight w:val="none"/>
        </w:rPr>
        <w:fldChar w:fldCharType="separate"/>
      </w:r>
      <w:r>
        <w:rPr>
          <w:rStyle w:val="23"/>
          <w:rFonts w:hint="eastAsia" w:ascii="仿宋" w:hAnsi="仿宋" w:eastAsia="仿宋"/>
          <w:sz w:val="28"/>
          <w:szCs w:val="28"/>
          <w:highlight w:val="none"/>
        </w:rPr>
        <w:t>九、财政拨款“三公”经费支出决算情况说明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_Toc143592650 \h </w:instrText>
      </w:r>
      <w:r>
        <w:rPr>
          <w:rFonts w:ascii="仿宋" w:hAnsi="仿宋" w:eastAsia="仿宋"/>
          <w:sz w:val="28"/>
          <w:szCs w:val="28"/>
          <w:highlight w:val="none"/>
        </w:rPr>
        <w:fldChar w:fldCharType="separate"/>
      </w:r>
      <w:r>
        <w:rPr>
          <w:rFonts w:ascii="仿宋" w:hAnsi="仿宋" w:eastAsia="仿宋"/>
          <w:sz w:val="28"/>
          <w:szCs w:val="28"/>
          <w:highlight w:val="none"/>
        </w:rPr>
        <w:t>15</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"_Toc143592651" </w:instrText>
      </w:r>
      <w:r>
        <w:rPr>
          <w:highlight w:val="none"/>
        </w:rPr>
        <w:fldChar w:fldCharType="separate"/>
      </w:r>
      <w:r>
        <w:rPr>
          <w:rStyle w:val="23"/>
          <w:rFonts w:hint="eastAsia" w:ascii="仿宋" w:hAnsi="仿宋" w:eastAsia="仿宋"/>
          <w:sz w:val="28"/>
          <w:szCs w:val="28"/>
          <w:highlight w:val="none"/>
        </w:rPr>
        <w:t>十、机关运行经费支出说明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_Toc143592651 \h </w:instrText>
      </w:r>
      <w:r>
        <w:rPr>
          <w:rFonts w:ascii="仿宋" w:hAnsi="仿宋" w:eastAsia="仿宋"/>
          <w:sz w:val="28"/>
          <w:szCs w:val="28"/>
          <w:highlight w:val="none"/>
        </w:rPr>
        <w:fldChar w:fldCharType="separate"/>
      </w:r>
      <w:r>
        <w:rPr>
          <w:rFonts w:ascii="仿宋" w:hAnsi="仿宋" w:eastAsia="仿宋"/>
          <w:sz w:val="28"/>
          <w:szCs w:val="28"/>
          <w:highlight w:val="none"/>
        </w:rPr>
        <w:t>16</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"_Toc143592652" </w:instrText>
      </w:r>
      <w:r>
        <w:rPr>
          <w:highlight w:val="none"/>
        </w:rPr>
        <w:fldChar w:fldCharType="separate"/>
      </w:r>
      <w:r>
        <w:rPr>
          <w:rStyle w:val="23"/>
          <w:rFonts w:hint="eastAsia" w:ascii="仿宋" w:hAnsi="仿宋" w:eastAsia="仿宋"/>
          <w:sz w:val="28"/>
          <w:szCs w:val="28"/>
          <w:highlight w:val="none"/>
        </w:rPr>
        <w:t>十一、政府采购支出说明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_Toc143592652 \h </w:instrText>
      </w:r>
      <w:r>
        <w:rPr>
          <w:rFonts w:ascii="仿宋" w:hAnsi="仿宋" w:eastAsia="仿宋"/>
          <w:sz w:val="28"/>
          <w:szCs w:val="28"/>
          <w:highlight w:val="none"/>
        </w:rPr>
        <w:fldChar w:fldCharType="separate"/>
      </w:r>
      <w:r>
        <w:rPr>
          <w:rFonts w:ascii="仿宋" w:hAnsi="仿宋" w:eastAsia="仿宋"/>
          <w:sz w:val="28"/>
          <w:szCs w:val="28"/>
          <w:highlight w:val="none"/>
        </w:rPr>
        <w:t>17</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"_Toc143592653" </w:instrText>
      </w:r>
      <w:r>
        <w:rPr>
          <w:highlight w:val="none"/>
        </w:rPr>
        <w:fldChar w:fldCharType="separate"/>
      </w:r>
      <w:r>
        <w:rPr>
          <w:rStyle w:val="23"/>
          <w:rFonts w:hint="eastAsia" w:ascii="仿宋" w:hAnsi="仿宋" w:eastAsia="仿宋"/>
          <w:sz w:val="28"/>
          <w:szCs w:val="28"/>
          <w:highlight w:val="none"/>
        </w:rPr>
        <w:t>十二、国有资产占用情况说明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_Toc143592653 \h </w:instrText>
      </w:r>
      <w:r>
        <w:rPr>
          <w:rFonts w:ascii="仿宋" w:hAnsi="仿宋" w:eastAsia="仿宋"/>
          <w:sz w:val="28"/>
          <w:szCs w:val="28"/>
          <w:highlight w:val="none"/>
        </w:rPr>
        <w:fldChar w:fldCharType="separate"/>
      </w:r>
      <w:r>
        <w:rPr>
          <w:rFonts w:ascii="仿宋" w:hAnsi="仿宋" w:eastAsia="仿宋"/>
          <w:sz w:val="28"/>
          <w:szCs w:val="28"/>
          <w:highlight w:val="none"/>
        </w:rPr>
        <w:t>17</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firstLine="220" w:firstLineChars="100"/>
        <w:rPr>
          <w:rFonts w:ascii="仿宋" w:hAnsi="仿宋" w:eastAsia="仿宋"/>
          <w:kern w:val="2"/>
          <w:sz w:val="28"/>
          <w:szCs w:val="28"/>
          <w:highlight w:val="none"/>
        </w:rPr>
      </w:pPr>
      <w:r>
        <w:rPr>
          <w:highlight w:val="none"/>
        </w:rPr>
        <w:fldChar w:fldCharType="begin"/>
      </w:r>
      <w:r>
        <w:rPr>
          <w:highlight w:val="none"/>
        </w:rPr>
        <w:instrText xml:space="preserve">HYPERLINK  \l "_Toc143592654" </w:instrText>
      </w:r>
      <w:r>
        <w:rPr>
          <w:highlight w:val="none"/>
        </w:rPr>
        <w:fldChar w:fldCharType="separate"/>
      </w:r>
      <w:r>
        <w:rPr>
          <w:rStyle w:val="23"/>
          <w:rFonts w:hint="eastAsia" w:ascii="仿宋" w:hAnsi="仿宋" w:eastAsia="仿宋"/>
          <w:sz w:val="28"/>
          <w:szCs w:val="28"/>
          <w:highlight w:val="none"/>
        </w:rPr>
        <w:t>十三、预算绩效情况说明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_Toc143592654 \h </w:instrText>
      </w:r>
      <w:r>
        <w:rPr>
          <w:rFonts w:ascii="仿宋" w:hAnsi="仿宋" w:eastAsia="仿宋"/>
          <w:sz w:val="28"/>
          <w:szCs w:val="28"/>
          <w:highlight w:val="none"/>
        </w:rPr>
        <w:fldChar w:fldCharType="separate"/>
      </w:r>
      <w:r>
        <w:rPr>
          <w:rFonts w:ascii="仿宋" w:hAnsi="仿宋" w:eastAsia="仿宋"/>
          <w:sz w:val="28"/>
          <w:szCs w:val="28"/>
          <w:highlight w:val="none"/>
        </w:rPr>
        <w:t>17</w:t>
      </w:r>
      <w:r>
        <w:rPr>
          <w:rFonts w:ascii="仿宋" w:hAnsi="仿宋" w:eastAsia="仿宋"/>
          <w:sz w:val="28"/>
          <w:szCs w:val="28"/>
          <w:highlight w:val="none"/>
        </w:rPr>
        <w:fldChar w:fldCharType="end"/>
      </w:r>
      <w:r>
        <w:rPr>
          <w:highlight w:val="none"/>
        </w:rPr>
        <w:fldChar w:fldCharType="end"/>
      </w:r>
    </w:p>
    <w:p>
      <w:pPr>
        <w:pStyle w:val="15"/>
        <w:tabs>
          <w:tab w:val="right" w:leader="dot" w:pos="8296"/>
        </w:tabs>
        <w:ind w:left="282" w:leftChars="88"/>
        <w:rPr>
          <w:rFonts w:ascii="仿宋" w:hAnsi="仿宋" w:eastAsia="仿宋"/>
          <w:kern w:val="2"/>
          <w:sz w:val="28"/>
          <w:szCs w:val="28"/>
          <w:highlight w:val="none"/>
        </w:rPr>
      </w:pPr>
      <w:r>
        <w:rPr>
          <w:highlight w:val="none"/>
        </w:rPr>
        <w:fldChar w:fldCharType="begin"/>
      </w:r>
      <w:r>
        <w:rPr>
          <w:highlight w:val="none"/>
        </w:rPr>
        <w:instrText xml:space="preserve">HYPERLINK  \l "_Toc143592655" </w:instrText>
      </w:r>
      <w:r>
        <w:rPr>
          <w:highlight w:val="none"/>
        </w:rPr>
        <w:fldChar w:fldCharType="separate"/>
      </w:r>
      <w:r>
        <w:rPr>
          <w:rStyle w:val="23"/>
          <w:rFonts w:hint="eastAsia" w:ascii="仿宋" w:hAnsi="仿宋" w:eastAsia="仿宋" w:cs="楷体_GB2312"/>
          <w:sz w:val="28"/>
          <w:szCs w:val="28"/>
          <w:highlight w:val="none"/>
        </w:rPr>
        <w:t>十四、</w:t>
      </w:r>
      <w:r>
        <w:rPr>
          <w:rFonts w:hint="eastAsia" w:ascii="仿宋" w:hAnsi="仿宋" w:eastAsia="仿宋"/>
          <w:sz w:val="28"/>
          <w:szCs w:val="28"/>
          <w:highlight w:val="none"/>
        </w:rPr>
        <w:t>专项支出、转移支付支出情况说明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_Toc143592655 \h </w:instrText>
      </w:r>
      <w:r>
        <w:rPr>
          <w:rFonts w:ascii="仿宋" w:hAnsi="仿宋" w:eastAsia="仿宋"/>
          <w:sz w:val="28"/>
          <w:szCs w:val="28"/>
          <w:highlight w:val="none"/>
        </w:rPr>
        <w:fldChar w:fldCharType="separate"/>
      </w:r>
      <w:r>
        <w:rPr>
          <w:rFonts w:ascii="仿宋" w:hAnsi="仿宋" w:eastAsia="仿宋"/>
          <w:sz w:val="28"/>
          <w:szCs w:val="28"/>
          <w:highlight w:val="none"/>
        </w:rPr>
        <w:t>19</w:t>
      </w:r>
      <w:r>
        <w:rPr>
          <w:rFonts w:ascii="仿宋" w:hAnsi="仿宋" w:eastAsia="仿宋"/>
          <w:sz w:val="28"/>
          <w:szCs w:val="28"/>
          <w:highlight w:val="none"/>
        </w:rPr>
        <w:fldChar w:fldCharType="end"/>
      </w:r>
      <w:r>
        <w:rPr>
          <w:highlight w:val="none"/>
        </w:rPr>
        <w:fldChar w:fldCharType="end"/>
      </w:r>
    </w:p>
    <w:p>
      <w:pPr>
        <w:pStyle w:val="15"/>
        <w:tabs>
          <w:tab w:val="right" w:leader="dot" w:pos="8296"/>
        </w:tabs>
        <w:rPr>
          <w:rFonts w:ascii="仿宋" w:hAnsi="仿宋" w:eastAsia="仿宋"/>
          <w:b/>
          <w:kern w:val="2"/>
          <w:sz w:val="28"/>
          <w:szCs w:val="28"/>
          <w:highlight w:val="none"/>
        </w:rPr>
      </w:pPr>
      <w:r>
        <w:rPr>
          <w:highlight w:val="none"/>
        </w:rPr>
        <w:fldChar w:fldCharType="begin"/>
      </w:r>
      <w:r>
        <w:rPr>
          <w:highlight w:val="none"/>
        </w:rPr>
        <w:instrText xml:space="preserve">HYPERLINK  \l "_Toc143592656" </w:instrText>
      </w:r>
      <w:r>
        <w:rPr>
          <w:highlight w:val="none"/>
        </w:rPr>
        <w:fldChar w:fldCharType="separate"/>
      </w:r>
      <w:r>
        <w:rPr>
          <w:rStyle w:val="23"/>
          <w:rFonts w:hint="eastAsia" w:ascii="仿宋" w:hAnsi="仿宋" w:eastAsia="仿宋"/>
          <w:b/>
          <w:sz w:val="28"/>
          <w:szCs w:val="28"/>
          <w:highlight w:val="none"/>
        </w:rPr>
        <w:t>第四部分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其他需要说明的情况</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_Toc143592656 \h </w:instrText>
      </w:r>
      <w:r>
        <w:rPr>
          <w:rFonts w:ascii="仿宋" w:hAnsi="仿宋" w:eastAsia="仿宋"/>
          <w:b/>
          <w:sz w:val="28"/>
          <w:szCs w:val="28"/>
          <w:highlight w:val="none"/>
        </w:rPr>
        <w:fldChar w:fldCharType="separate"/>
      </w:r>
      <w:r>
        <w:rPr>
          <w:rFonts w:ascii="仿宋" w:hAnsi="仿宋" w:eastAsia="仿宋"/>
          <w:b/>
          <w:sz w:val="28"/>
          <w:szCs w:val="28"/>
          <w:highlight w:val="none"/>
        </w:rPr>
        <w:t>20</w:t>
      </w:r>
      <w:r>
        <w:rPr>
          <w:rFonts w:ascii="仿宋" w:hAnsi="仿宋" w:eastAsia="仿宋"/>
          <w:b/>
          <w:sz w:val="28"/>
          <w:szCs w:val="28"/>
          <w:highlight w:val="none"/>
        </w:rPr>
        <w:fldChar w:fldCharType="end"/>
      </w:r>
      <w:r>
        <w:rPr>
          <w:highlight w:val="none"/>
        </w:rPr>
        <w:fldChar w:fldCharType="end"/>
      </w:r>
    </w:p>
    <w:p>
      <w:pPr>
        <w:pStyle w:val="15"/>
        <w:tabs>
          <w:tab w:val="right" w:leader="dot" w:pos="8296"/>
        </w:tabs>
        <w:rPr>
          <w:rFonts w:ascii="仿宋" w:hAnsi="仿宋" w:eastAsia="仿宋"/>
          <w:b/>
          <w:kern w:val="2"/>
          <w:sz w:val="28"/>
          <w:szCs w:val="28"/>
          <w:highlight w:val="none"/>
        </w:rPr>
      </w:pPr>
      <w:r>
        <w:rPr>
          <w:highlight w:val="none"/>
        </w:rPr>
        <w:fldChar w:fldCharType="begin"/>
      </w:r>
      <w:r>
        <w:rPr>
          <w:highlight w:val="none"/>
        </w:rPr>
        <w:instrText xml:space="preserve">HYPERLINK  \l "_Toc143592657" </w:instrText>
      </w:r>
      <w:r>
        <w:rPr>
          <w:highlight w:val="none"/>
        </w:rPr>
        <w:fldChar w:fldCharType="separate"/>
      </w:r>
      <w:r>
        <w:rPr>
          <w:rStyle w:val="23"/>
          <w:rFonts w:hint="eastAsia" w:ascii="仿宋" w:hAnsi="仿宋" w:eastAsia="仿宋"/>
          <w:b/>
          <w:sz w:val="28"/>
          <w:szCs w:val="28"/>
          <w:highlight w:val="none"/>
        </w:rPr>
        <w:t>第五部分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名词解释</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_Toc143592657 \h </w:instrText>
      </w:r>
      <w:r>
        <w:rPr>
          <w:rFonts w:ascii="仿宋" w:hAnsi="仿宋" w:eastAsia="仿宋"/>
          <w:b/>
          <w:sz w:val="28"/>
          <w:szCs w:val="28"/>
          <w:highlight w:val="none"/>
        </w:rPr>
        <w:fldChar w:fldCharType="separate"/>
      </w:r>
      <w:r>
        <w:rPr>
          <w:rFonts w:ascii="仿宋" w:hAnsi="仿宋" w:eastAsia="仿宋"/>
          <w:b/>
          <w:sz w:val="28"/>
          <w:szCs w:val="28"/>
          <w:highlight w:val="none"/>
        </w:rPr>
        <w:t>20</w:t>
      </w:r>
      <w:r>
        <w:rPr>
          <w:rFonts w:ascii="仿宋" w:hAnsi="仿宋" w:eastAsia="仿宋"/>
          <w:b/>
          <w:sz w:val="28"/>
          <w:szCs w:val="28"/>
          <w:highlight w:val="none"/>
        </w:rPr>
        <w:fldChar w:fldCharType="end"/>
      </w:r>
      <w:r>
        <w:rPr>
          <w:highlight w:val="none"/>
        </w:rPr>
        <w:fldChar w:fldCharType="end"/>
      </w:r>
    </w:p>
    <w:p>
      <w:pPr>
        <w:pStyle w:val="15"/>
        <w:tabs>
          <w:tab w:val="right" w:leader="dot" w:pos="8296"/>
        </w:tabs>
        <w:rPr>
          <w:highlight w:val="none"/>
        </w:rPr>
      </w:pPr>
      <w:r>
        <w:rPr>
          <w:highlight w:val="none"/>
        </w:rPr>
        <w:fldChar w:fldCharType="begin"/>
      </w:r>
      <w:r>
        <w:rPr>
          <w:highlight w:val="none"/>
        </w:rPr>
        <w:instrText xml:space="preserve">HYPERLINK  \l "_Toc143592658" </w:instrText>
      </w:r>
      <w:r>
        <w:rPr>
          <w:highlight w:val="none"/>
        </w:rPr>
        <w:fldChar w:fldCharType="separate"/>
      </w:r>
      <w:r>
        <w:rPr>
          <w:rStyle w:val="23"/>
          <w:rFonts w:hint="eastAsia" w:ascii="仿宋" w:hAnsi="仿宋" w:eastAsia="仿宋"/>
          <w:b/>
          <w:sz w:val="28"/>
          <w:szCs w:val="28"/>
          <w:highlight w:val="none"/>
        </w:rPr>
        <w:t>第六部分</w:t>
      </w:r>
      <w:r>
        <w:rPr>
          <w:rStyle w:val="23"/>
          <w:rFonts w:ascii="仿宋" w:hAnsi="仿宋" w:eastAsia="仿宋"/>
          <w:b/>
          <w:sz w:val="28"/>
          <w:szCs w:val="28"/>
          <w:highlight w:val="none"/>
        </w:rPr>
        <w:t xml:space="preserve">  </w:t>
      </w:r>
      <w:r>
        <w:rPr>
          <w:rStyle w:val="23"/>
          <w:rFonts w:hint="eastAsia" w:ascii="仿宋" w:hAnsi="仿宋" w:eastAsia="仿宋"/>
          <w:b/>
          <w:sz w:val="28"/>
          <w:szCs w:val="28"/>
          <w:highlight w:val="none"/>
        </w:rPr>
        <w:t>附件</w:t>
      </w:r>
      <w:r>
        <w:rPr>
          <w:rFonts w:ascii="仿宋" w:hAnsi="仿宋" w:eastAsia="仿宋"/>
          <w:b/>
          <w:sz w:val="28"/>
          <w:szCs w:val="28"/>
          <w:highlight w:val="none"/>
        </w:rPr>
        <w:tab/>
      </w:r>
      <w:r>
        <w:rPr>
          <w:rFonts w:ascii="仿宋" w:hAnsi="仿宋" w:eastAsia="仿宋"/>
          <w:b/>
          <w:sz w:val="28"/>
          <w:szCs w:val="28"/>
          <w:highlight w:val="none"/>
        </w:rPr>
        <w:fldChar w:fldCharType="begin"/>
      </w:r>
      <w:r>
        <w:rPr>
          <w:rFonts w:ascii="仿宋" w:hAnsi="仿宋" w:eastAsia="仿宋"/>
          <w:b/>
          <w:sz w:val="28"/>
          <w:szCs w:val="28"/>
          <w:highlight w:val="none"/>
        </w:rPr>
        <w:instrText xml:space="preserve"> PAGEREF _Toc143592658 \h </w:instrText>
      </w:r>
      <w:r>
        <w:rPr>
          <w:rFonts w:ascii="仿宋" w:hAnsi="仿宋" w:eastAsia="仿宋"/>
          <w:b/>
          <w:sz w:val="28"/>
          <w:szCs w:val="28"/>
          <w:highlight w:val="none"/>
        </w:rPr>
        <w:fldChar w:fldCharType="separate"/>
      </w:r>
      <w:r>
        <w:rPr>
          <w:rFonts w:ascii="仿宋" w:hAnsi="仿宋" w:eastAsia="仿宋"/>
          <w:b/>
          <w:sz w:val="28"/>
          <w:szCs w:val="28"/>
          <w:highlight w:val="none"/>
        </w:rPr>
        <w:t>24</w:t>
      </w:r>
      <w:r>
        <w:rPr>
          <w:rFonts w:ascii="仿宋" w:hAnsi="仿宋" w:eastAsia="仿宋"/>
          <w:b/>
          <w:sz w:val="28"/>
          <w:szCs w:val="28"/>
          <w:highlight w:val="none"/>
        </w:rPr>
        <w:fldChar w:fldCharType="end"/>
      </w:r>
      <w:r>
        <w:rPr>
          <w:highlight w:val="none"/>
        </w:rPr>
        <w:fldChar w:fldCharType="end"/>
      </w:r>
    </w:p>
    <w:p>
      <w:pPr>
        <w:rPr>
          <w:highlight w:val="none"/>
        </w:rPr>
      </w:pPr>
    </w:p>
    <w:p>
      <w:pPr>
        <w:rPr>
          <w:highlight w:val="none"/>
        </w:rPr>
      </w:pPr>
    </w:p>
    <w:p>
      <w:pPr>
        <w:rPr>
          <w:rFonts w:ascii="黑体" w:hAnsi="黑体" w:eastAsia="黑体"/>
          <w:highlight w:val="none"/>
        </w:rPr>
      </w:pPr>
      <w:r>
        <w:rPr>
          <w:rFonts w:ascii="仿宋" w:hAnsi="仿宋" w:eastAsia="仿宋"/>
          <w:b/>
          <w:bCs/>
          <w:sz w:val="28"/>
          <w:szCs w:val="28"/>
          <w:highlight w:val="none"/>
          <w:lang w:val="zh-CN"/>
        </w:rPr>
        <w:fldChar w:fldCharType="end"/>
      </w:r>
      <w:bookmarkStart w:id="0" w:name="_Toc143592628"/>
      <w:r>
        <w:rPr>
          <w:rFonts w:hint="eastAsia" w:ascii="黑体" w:hAnsi="黑体" w:eastAsia="黑体"/>
          <w:highlight w:val="none"/>
        </w:rPr>
        <w:t>第一部分  湖北省咸宁市中级人民法院概况</w:t>
      </w:r>
      <w:bookmarkEnd w:id="0"/>
    </w:p>
    <w:p>
      <w:pPr>
        <w:pStyle w:val="21"/>
        <w:spacing w:before="0" w:after="0"/>
        <w:ind w:firstLine="628" w:firstLineChars="196"/>
        <w:jc w:val="left"/>
        <w:rPr>
          <w:rFonts w:ascii="华文楷体" w:hAnsi="华文楷体" w:eastAsia="华文楷体"/>
          <w:highlight w:val="none"/>
        </w:rPr>
      </w:pPr>
      <w:bookmarkStart w:id="1" w:name="_Toc143592629"/>
      <w:r>
        <w:rPr>
          <w:rFonts w:hint="eastAsia" w:ascii="华文楷体" w:hAnsi="华文楷体" w:eastAsia="华文楷体"/>
          <w:highlight w:val="none"/>
        </w:rPr>
        <w:t>一、部门主要职责</w:t>
      </w:r>
      <w:bookmarkEnd w:id="1"/>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w:t>
      </w:r>
      <w:r>
        <w:rPr>
          <w:rFonts w:hint="eastAsia" w:ascii="仿宋" w:hAnsi="仿宋" w:eastAsia="仿宋"/>
          <w:color w:val="000000"/>
          <w:szCs w:val="32"/>
          <w:highlight w:val="none"/>
        </w:rPr>
        <w:t>.</w:t>
      </w:r>
      <w:r>
        <w:rPr>
          <w:rFonts w:ascii="仿宋" w:hAnsi="仿宋" w:eastAsia="仿宋"/>
          <w:color w:val="000000"/>
          <w:szCs w:val="32"/>
          <w:highlight w:val="none"/>
        </w:rPr>
        <w:t>审理法律、法规规定管辖的第一审刑事、民事和行政案件；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2</w:t>
      </w:r>
      <w:r>
        <w:rPr>
          <w:rFonts w:hint="eastAsia" w:ascii="仿宋" w:hAnsi="仿宋" w:eastAsia="仿宋"/>
          <w:color w:val="000000"/>
          <w:szCs w:val="32"/>
          <w:highlight w:val="none"/>
        </w:rPr>
        <w:t>.</w:t>
      </w:r>
      <w:r>
        <w:rPr>
          <w:rFonts w:ascii="仿宋" w:hAnsi="仿宋" w:eastAsia="仿宋"/>
          <w:color w:val="000000"/>
          <w:szCs w:val="32"/>
          <w:highlight w:val="none"/>
        </w:rPr>
        <w:t>审理下级法院移送的第一审刑事、民事和行政案件；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3</w:t>
      </w:r>
      <w:r>
        <w:rPr>
          <w:rFonts w:hint="eastAsia" w:ascii="仿宋" w:hAnsi="仿宋" w:eastAsia="仿宋"/>
          <w:color w:val="000000"/>
          <w:szCs w:val="32"/>
          <w:highlight w:val="none"/>
        </w:rPr>
        <w:t>.</w:t>
      </w:r>
      <w:r>
        <w:rPr>
          <w:rFonts w:ascii="仿宋" w:hAnsi="仿宋" w:eastAsia="仿宋"/>
          <w:color w:val="000000"/>
          <w:szCs w:val="32"/>
          <w:highlight w:val="none"/>
        </w:rPr>
        <w:t>依照法律规定提审下级法院管辖的第一审刑事、民事和行政案件；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4</w:t>
      </w:r>
      <w:r>
        <w:rPr>
          <w:rFonts w:hint="eastAsia" w:ascii="仿宋" w:hAnsi="仿宋" w:eastAsia="仿宋"/>
          <w:color w:val="000000"/>
          <w:szCs w:val="32"/>
          <w:highlight w:val="none"/>
        </w:rPr>
        <w:t>.</w:t>
      </w:r>
      <w:r>
        <w:rPr>
          <w:rFonts w:ascii="仿宋" w:hAnsi="仿宋" w:eastAsia="仿宋"/>
          <w:color w:val="000000"/>
          <w:szCs w:val="32"/>
          <w:highlight w:val="none"/>
        </w:rPr>
        <w:t>审理上级法院交由本级法院审判的刑事、民事和行政案件；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5</w:t>
      </w:r>
      <w:r>
        <w:rPr>
          <w:rFonts w:hint="eastAsia" w:ascii="仿宋" w:hAnsi="仿宋" w:eastAsia="仿宋"/>
          <w:color w:val="000000"/>
          <w:szCs w:val="32"/>
          <w:highlight w:val="none"/>
        </w:rPr>
        <w:t>.</w:t>
      </w:r>
      <w:r>
        <w:rPr>
          <w:rFonts w:ascii="仿宋" w:hAnsi="仿宋" w:eastAsia="仿宋"/>
          <w:color w:val="000000"/>
          <w:szCs w:val="32"/>
          <w:highlight w:val="none"/>
        </w:rPr>
        <w:t>审理基层人民法院移送的上诉案件；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6</w:t>
      </w:r>
      <w:r>
        <w:rPr>
          <w:rFonts w:hint="eastAsia" w:ascii="仿宋" w:hAnsi="仿宋" w:eastAsia="仿宋"/>
          <w:color w:val="000000"/>
          <w:szCs w:val="32"/>
          <w:highlight w:val="none"/>
        </w:rPr>
        <w:t>.</w:t>
      </w:r>
      <w:r>
        <w:rPr>
          <w:rFonts w:ascii="仿宋" w:hAnsi="仿宋" w:eastAsia="仿宋"/>
          <w:color w:val="000000"/>
          <w:szCs w:val="32"/>
          <w:highlight w:val="none"/>
        </w:rPr>
        <w:t>审理人民检察院按照审判监督程序提起的抗诉案件；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7</w:t>
      </w:r>
      <w:r>
        <w:rPr>
          <w:rFonts w:hint="eastAsia" w:ascii="仿宋" w:hAnsi="仿宋" w:eastAsia="仿宋"/>
          <w:color w:val="000000"/>
          <w:szCs w:val="32"/>
          <w:highlight w:val="none"/>
        </w:rPr>
        <w:t>.</w:t>
      </w:r>
      <w:r>
        <w:rPr>
          <w:rFonts w:ascii="仿宋" w:hAnsi="仿宋" w:eastAsia="仿宋"/>
          <w:color w:val="000000"/>
          <w:szCs w:val="32"/>
          <w:highlight w:val="none"/>
        </w:rPr>
        <w:t>依照法律监督程序，审理申诉的刑事、民事和行政案件；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8</w:t>
      </w:r>
      <w:r>
        <w:rPr>
          <w:rFonts w:hint="eastAsia" w:ascii="仿宋" w:hAnsi="仿宋" w:eastAsia="仿宋"/>
          <w:color w:val="000000"/>
          <w:szCs w:val="32"/>
          <w:highlight w:val="none"/>
        </w:rPr>
        <w:t>.</w:t>
      </w:r>
      <w:r>
        <w:rPr>
          <w:rFonts w:ascii="仿宋" w:hAnsi="仿宋" w:eastAsia="仿宋"/>
          <w:color w:val="000000"/>
          <w:szCs w:val="32"/>
          <w:highlight w:val="none"/>
        </w:rPr>
        <w:t>执行本院已经发生法律效力的判决、裁定以及国家行政机关依法向本级法院申请强制执行案件和外地法院委托执行的案件；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9</w:t>
      </w:r>
      <w:r>
        <w:rPr>
          <w:rFonts w:hint="eastAsia" w:ascii="仿宋" w:hAnsi="仿宋" w:eastAsia="仿宋"/>
          <w:color w:val="000000"/>
          <w:szCs w:val="32"/>
          <w:highlight w:val="none"/>
        </w:rPr>
        <w:t>.</w:t>
      </w:r>
      <w:r>
        <w:rPr>
          <w:rFonts w:ascii="仿宋" w:hAnsi="仿宋" w:eastAsia="仿宋"/>
          <w:color w:val="000000"/>
          <w:szCs w:val="32"/>
          <w:highlight w:val="none"/>
        </w:rPr>
        <w:t>根据《国家赔偿法》规定，受理赔偿案件；</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10</w:t>
      </w:r>
      <w:r>
        <w:rPr>
          <w:rFonts w:hint="eastAsia" w:ascii="仿宋" w:hAnsi="仿宋" w:eastAsia="仿宋"/>
          <w:color w:val="000000"/>
          <w:szCs w:val="32"/>
          <w:highlight w:val="none"/>
        </w:rPr>
        <w:t>.</w:t>
      </w:r>
      <w:r>
        <w:rPr>
          <w:rFonts w:ascii="仿宋" w:hAnsi="仿宋" w:eastAsia="仿宋"/>
          <w:color w:val="000000"/>
          <w:szCs w:val="32"/>
          <w:highlight w:val="none"/>
        </w:rPr>
        <w:t>监督、指导下级人民法院的审判工作；</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11</w:t>
      </w:r>
      <w:r>
        <w:rPr>
          <w:rFonts w:hint="eastAsia" w:ascii="仿宋" w:hAnsi="仿宋" w:eastAsia="仿宋"/>
          <w:color w:val="000000"/>
          <w:szCs w:val="32"/>
          <w:highlight w:val="none"/>
        </w:rPr>
        <w:t>.</w:t>
      </w:r>
      <w:r>
        <w:rPr>
          <w:rFonts w:ascii="仿宋" w:hAnsi="仿宋" w:eastAsia="仿宋"/>
          <w:color w:val="000000"/>
          <w:szCs w:val="32"/>
          <w:highlight w:val="none"/>
        </w:rPr>
        <w:t>调查研究审判工作中的法律政策及疑难问题，提出解决问题的办法和意见，针对案件审理中发生的问题提出司法建议；</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12</w:t>
      </w:r>
      <w:r>
        <w:rPr>
          <w:rFonts w:hint="eastAsia" w:ascii="仿宋" w:hAnsi="仿宋" w:eastAsia="仿宋"/>
          <w:color w:val="000000"/>
          <w:szCs w:val="32"/>
          <w:highlight w:val="none"/>
        </w:rPr>
        <w:t>.</w:t>
      </w:r>
      <w:r>
        <w:rPr>
          <w:rFonts w:ascii="仿宋" w:hAnsi="仿宋" w:eastAsia="仿宋"/>
          <w:color w:val="000000"/>
          <w:szCs w:val="32"/>
          <w:highlight w:val="none"/>
        </w:rPr>
        <w:t>指导全市法院政治思想教育、干警培训工作，负责全市法院干警立功受奖及法官、法警等级评定审核工作，协同主管部门做好人民法院的机构设置、人员编制工作，协助地方党委管理基层法院领导干部；</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13</w:t>
      </w:r>
      <w:r>
        <w:rPr>
          <w:rFonts w:hint="eastAsia" w:ascii="仿宋" w:hAnsi="仿宋" w:eastAsia="仿宋"/>
          <w:color w:val="000000"/>
          <w:szCs w:val="32"/>
          <w:highlight w:val="none"/>
        </w:rPr>
        <w:t>.</w:t>
      </w:r>
      <w:r>
        <w:rPr>
          <w:rFonts w:ascii="仿宋" w:hAnsi="仿宋" w:eastAsia="仿宋"/>
          <w:color w:val="000000"/>
          <w:szCs w:val="32"/>
          <w:highlight w:val="none"/>
        </w:rPr>
        <w:t>指导全市法院的司法行政工作，搞好装备、枪支弹药、车辆管理等工作；</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14</w:t>
      </w:r>
      <w:r>
        <w:rPr>
          <w:rFonts w:hint="eastAsia" w:ascii="仿宋" w:hAnsi="仿宋" w:eastAsia="仿宋"/>
          <w:color w:val="000000"/>
          <w:szCs w:val="32"/>
          <w:highlight w:val="none"/>
        </w:rPr>
        <w:t>.</w:t>
      </w:r>
      <w:r>
        <w:rPr>
          <w:rFonts w:ascii="仿宋" w:hAnsi="仿宋" w:eastAsia="仿宋"/>
          <w:color w:val="000000"/>
          <w:szCs w:val="32"/>
          <w:highlight w:val="none"/>
        </w:rPr>
        <w:t>积极参与社会治安综合治理，搞好法制宣传工作，用审判活动教育公民忠于社会主义祖国，自觉地遵守宪法和法律；</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15</w:t>
      </w:r>
      <w:r>
        <w:rPr>
          <w:rFonts w:hint="eastAsia" w:ascii="仿宋" w:hAnsi="仿宋" w:eastAsia="仿宋"/>
          <w:color w:val="000000"/>
          <w:szCs w:val="32"/>
          <w:highlight w:val="none"/>
        </w:rPr>
        <w:t>.</w:t>
      </w:r>
      <w:r>
        <w:rPr>
          <w:rFonts w:ascii="仿宋" w:hAnsi="仿宋" w:eastAsia="仿宋"/>
          <w:color w:val="000000"/>
          <w:szCs w:val="32"/>
          <w:highlight w:val="none"/>
        </w:rPr>
        <w:t>负责应由本级法院查处的干警违法违纪案件、指导全市法院监察工作；</w:t>
      </w:r>
    </w:p>
    <w:p>
      <w:pPr>
        <w:spacing w:line="160" w:lineRule="atLeast"/>
        <w:ind w:firstLine="645"/>
        <w:rPr>
          <w:rFonts w:ascii="仿宋" w:hAnsi="仿宋" w:eastAsia="仿宋"/>
          <w:color w:val="000000"/>
          <w:szCs w:val="32"/>
          <w:highlight w:val="none"/>
        </w:rPr>
      </w:pPr>
      <w:r>
        <w:rPr>
          <w:rFonts w:ascii="仿宋" w:hAnsi="仿宋" w:eastAsia="仿宋"/>
          <w:color w:val="000000"/>
          <w:szCs w:val="32"/>
          <w:highlight w:val="none"/>
        </w:rPr>
        <w:t>16</w:t>
      </w:r>
      <w:r>
        <w:rPr>
          <w:rFonts w:hint="eastAsia" w:ascii="仿宋" w:hAnsi="仿宋" w:eastAsia="仿宋"/>
          <w:color w:val="000000"/>
          <w:szCs w:val="32"/>
          <w:highlight w:val="none"/>
        </w:rPr>
        <w:t>.</w:t>
      </w:r>
      <w:r>
        <w:rPr>
          <w:rFonts w:ascii="仿宋" w:hAnsi="仿宋" w:eastAsia="仿宋"/>
          <w:color w:val="000000"/>
          <w:szCs w:val="32"/>
          <w:highlight w:val="none"/>
        </w:rPr>
        <w:t>办理其他应由本级法院负责的工作。</w:t>
      </w:r>
    </w:p>
    <w:p>
      <w:pPr>
        <w:pStyle w:val="21"/>
        <w:spacing w:before="0" w:after="0"/>
        <w:ind w:firstLine="628" w:firstLineChars="196"/>
        <w:jc w:val="left"/>
        <w:rPr>
          <w:rFonts w:ascii="华文楷体" w:hAnsi="华文楷体" w:eastAsia="华文楷体"/>
          <w:bCs w:val="0"/>
          <w:highlight w:val="none"/>
        </w:rPr>
      </w:pPr>
      <w:bookmarkStart w:id="2" w:name="_Toc143592630"/>
      <w:r>
        <w:rPr>
          <w:rFonts w:hint="eastAsia" w:ascii="华文楷体" w:hAnsi="华文楷体" w:eastAsia="华文楷体"/>
          <w:highlight w:val="none"/>
        </w:rPr>
        <w:t>二、机构设置情况</w:t>
      </w:r>
      <w:bookmarkEnd w:id="2"/>
    </w:p>
    <w:p>
      <w:pPr>
        <w:ind w:firstLine="645"/>
        <w:rPr>
          <w:rFonts w:ascii="仿宋" w:hAnsi="仿宋" w:eastAsia="仿宋"/>
          <w:szCs w:val="32"/>
          <w:highlight w:val="none"/>
        </w:rPr>
      </w:pPr>
      <w:r>
        <w:rPr>
          <w:rFonts w:ascii="仿宋" w:hAnsi="仿宋" w:eastAsia="仿宋"/>
          <w:color w:val="000000"/>
          <w:szCs w:val="32"/>
          <w:highlight w:val="none"/>
        </w:rPr>
        <w:t>咸宁市人民法院现设置30个内设机构：办公室、政治部、政治部人事科、政治部宣传科、政治部教育培训科、立案第一庭、立案第二庭、刑事审判第一庭、刑事审判第二庭、民事审判第一庭（加挂知识产权审判庭）、民事审判第二庭、民事审判第三庭、行政审判庭、审判监督庭、赔偿委员会办公室、执行局(加挂执行庭牌子）、执行局执行裁决庭、执行局综合科、监察处、研究室、法警支队、法警支队警政警务科、法警支队直属大队、司法鉴定处、工会工作委员会、机关党委办公室、离退休干部科、审判管理办公室、司法行政处；鄂南法官</w:t>
      </w:r>
      <w:r>
        <w:rPr>
          <w:rFonts w:hint="eastAsia" w:ascii="仿宋" w:hAnsi="仿宋" w:eastAsia="仿宋"/>
          <w:color w:val="000000"/>
          <w:szCs w:val="32"/>
          <w:highlight w:val="none"/>
        </w:rPr>
        <w:t>教育</w:t>
      </w:r>
      <w:r>
        <w:rPr>
          <w:rFonts w:ascii="仿宋" w:hAnsi="仿宋" w:eastAsia="仿宋"/>
          <w:color w:val="000000"/>
          <w:szCs w:val="32"/>
          <w:highlight w:val="none"/>
        </w:rPr>
        <w:t>中心（二级事业单位）。</w:t>
      </w:r>
    </w:p>
    <w:p>
      <w:pPr>
        <w:pStyle w:val="21"/>
        <w:ind w:firstLine="630" w:firstLineChars="196"/>
        <w:jc w:val="left"/>
        <w:rPr>
          <w:rFonts w:ascii="黑体" w:hAnsi="黑体" w:eastAsia="黑体"/>
          <w:highlight w:val="none"/>
        </w:rPr>
      </w:pPr>
      <w:bookmarkStart w:id="3" w:name="_Toc143592631"/>
      <w:r>
        <w:rPr>
          <w:rFonts w:hint="eastAsia" w:ascii="黑体" w:hAnsi="黑体" w:eastAsia="黑体"/>
          <w:highlight w:val="none"/>
        </w:rPr>
        <w:t>第二部分  湖北省咸宁市中级人民法院2022年度部门决算表</w:t>
      </w:r>
      <w:bookmarkEnd w:id="3"/>
    </w:p>
    <w:p>
      <w:pPr>
        <w:pStyle w:val="21"/>
        <w:numPr>
          <w:ilvl w:val="0"/>
          <w:numId w:val="1"/>
        </w:numPr>
        <w:ind w:firstLine="628" w:firstLineChars="196"/>
        <w:jc w:val="left"/>
        <w:rPr>
          <w:highlight w:val="none"/>
        </w:rPr>
      </w:pPr>
      <w:bookmarkStart w:id="4" w:name="_Toc143592632"/>
      <w:r>
        <w:rPr>
          <w:rFonts w:hint="eastAsia" w:ascii="华文楷体" w:hAnsi="华文楷体" w:eastAsia="华文楷体"/>
          <w:highlight w:val="none"/>
        </w:rPr>
        <w:t>收入支出决算总表</w:t>
      </w:r>
      <w:bookmarkEnd w:id="4"/>
    </w:p>
    <w:p>
      <w:pPr>
        <w:rPr>
          <w:rFonts w:ascii="华文楷体" w:hAnsi="华文楷体" w:eastAsia="华文楷体" w:cs="黑体"/>
          <w:highlight w:val="none"/>
        </w:rPr>
      </w:pPr>
      <w:r>
        <w:rPr>
          <w:rFonts w:ascii="Times New Roman" w:hAnsi="Times New Roman" w:eastAsia="仿宋_GB2312" w:cs="Times New Roman"/>
          <w:kern w:val="2"/>
          <w:sz w:val="32"/>
          <w:szCs w:val="22"/>
          <w:highlight w:val="none"/>
          <w:lang w:val="en-US" w:eastAsia="zh-CN" w:bidi="ar-SA"/>
        </w:rPr>
        <w:pict>
          <v:shape id="图片 20" o:spid="_x0000_s1028" type="#_x0000_t75" style="height:548.25pt;width:435pt;rotation:0f;" o:ole="f" fillcolor="#FFFFFF" filled="f" o:preferrelative="t" stroked="f" coordorigin="0,0" coordsize="21600,21600">
            <v:fill on="f" color2="#FFFFFF" focus="0%"/>
            <v:imagedata gain="65536f" blacklevel="0f" gamma="0" o:title="公开01表" r:id="rId7"/>
            <o:lock v:ext="edit" position="f" selection="f" grouping="f" rotation="f" cropping="f" text="f" aspectratio="t"/>
            <w10:wrap type="none"/>
            <w10:anchorlock/>
          </v:shape>
        </w:pict>
      </w:r>
      <w:bookmarkStart w:id="5" w:name="_Toc143592633"/>
    </w:p>
    <w:p>
      <w:pPr>
        <w:pStyle w:val="21"/>
        <w:ind w:firstLine="628" w:firstLineChars="196"/>
        <w:jc w:val="left"/>
        <w:rPr>
          <w:rFonts w:ascii="华文楷体" w:hAnsi="华文楷体" w:eastAsia="华文楷体"/>
          <w:bCs w:val="0"/>
          <w:highlight w:val="none"/>
        </w:rPr>
      </w:pPr>
      <w:r>
        <w:rPr>
          <w:rFonts w:hint="eastAsia" w:ascii="华文楷体" w:hAnsi="华文楷体" w:eastAsia="华文楷体"/>
          <w:highlight w:val="none"/>
        </w:rPr>
        <w:t>二、收入决算表</w:t>
      </w:r>
      <w:bookmarkEnd w:id="5"/>
    </w:p>
    <w:p>
      <w:pPr>
        <w:adjustRightInd w:val="0"/>
        <w:snapToGrid w:val="0"/>
        <w:spacing w:line="580" w:lineRule="atLeast"/>
        <w:rPr>
          <w:highlight w:val="none"/>
        </w:rPr>
      </w:pPr>
      <w:r>
        <w:rPr>
          <w:rFonts w:ascii="Times New Roman" w:hAnsi="Times New Roman" w:eastAsia="仿宋_GB2312" w:cs="Times New Roman"/>
          <w:kern w:val="2"/>
          <w:sz w:val="32"/>
          <w:szCs w:val="22"/>
          <w:highlight w:val="none"/>
          <w:lang w:val="en-US" w:eastAsia="zh-CN" w:bidi="ar-SA"/>
        </w:rPr>
        <w:pict>
          <v:shape id="图片 18" o:spid="_x0000_s1029" type="#_x0000_t75" style="height:383.25pt;width:439.5pt;rotation:0f;" o:ole="f" fillcolor="#FFFFFF" filled="f" o:preferrelative="t" stroked="f" coordorigin="0,0" coordsize="21600,21600">
            <v:fill on="f" color2="#FFFFFF" focus="0%"/>
            <v:imagedata gain="65536f" blacklevel="0f" gamma="0" o:title="公开表02收入决算表" r:id="rId8"/>
            <o:lock v:ext="edit" position="f" selection="f" grouping="f" rotation="f" cropping="f" text="f" aspectratio="t"/>
            <w10:wrap type="none"/>
            <w10:anchorlock/>
          </v:shape>
        </w:pict>
      </w:r>
    </w:p>
    <w:p>
      <w:pPr>
        <w:pStyle w:val="21"/>
        <w:numPr>
          <w:ilvl w:val="0"/>
          <w:numId w:val="2"/>
        </w:numPr>
        <w:ind w:firstLine="628" w:firstLineChars="196"/>
        <w:jc w:val="left"/>
        <w:rPr>
          <w:rFonts w:ascii="华文楷体" w:hAnsi="华文楷体" w:eastAsia="华文楷体"/>
          <w:highlight w:val="none"/>
        </w:rPr>
      </w:pPr>
      <w:bookmarkStart w:id="6" w:name="_Toc143592634"/>
      <w:r>
        <w:rPr>
          <w:rFonts w:hint="eastAsia" w:ascii="华文楷体" w:hAnsi="华文楷体" w:eastAsia="华文楷体"/>
          <w:highlight w:val="none"/>
        </w:rPr>
        <w:t>支出决算表</w:t>
      </w:r>
      <w:bookmarkEnd w:id="6"/>
      <w:r>
        <w:rPr>
          <w:rFonts w:ascii="Times New Roman" w:hAnsi="Times New Roman" w:eastAsia="仿宋_GB2312" w:cs="Times New Roman"/>
          <w:b/>
          <w:bCs/>
          <w:kern w:val="2"/>
          <w:sz w:val="32"/>
          <w:szCs w:val="22"/>
          <w:highlight w:val="none"/>
          <w:lang w:val="en-US" w:eastAsia="zh-CN" w:bidi="ar-SA"/>
        </w:rPr>
        <w:pict>
          <v:shape id="图片 21" o:spid="_x0000_s1030" type="#_x0000_t75" style="height:220.5pt;width:445.5pt;rotation:0f;" o:ole="f" fillcolor="#FFFFFF" filled="f" o:preferrelative="t" stroked="f" coordorigin="0,0" coordsize="21600,21600">
            <v:fill on="f" color2="#FFFFFF" focus="0%"/>
            <v:imagedata gain="65536f" blacklevel="0f" gamma="0" o:title="公开03表支出决算表" r:id="rId9"/>
            <o:lock v:ext="edit" position="f" selection="f" grouping="f" rotation="f" cropping="f" text="f" aspectratio="t"/>
            <w10:wrap type="none"/>
            <w10:anchorlock/>
          </v:shape>
        </w:pict>
      </w:r>
    </w:p>
    <w:p>
      <w:pPr>
        <w:adjustRightInd w:val="0"/>
        <w:snapToGrid w:val="0"/>
        <w:spacing w:line="580" w:lineRule="atLeast"/>
        <w:rPr>
          <w:highlight w:val="none"/>
        </w:rPr>
      </w:pPr>
    </w:p>
    <w:p>
      <w:pPr>
        <w:pStyle w:val="21"/>
        <w:ind w:firstLine="628" w:firstLineChars="196"/>
        <w:jc w:val="left"/>
        <w:rPr>
          <w:rFonts w:ascii="华文楷体" w:hAnsi="华文楷体" w:eastAsia="华文楷体"/>
          <w:bCs w:val="0"/>
          <w:highlight w:val="none"/>
        </w:rPr>
      </w:pPr>
      <w:bookmarkStart w:id="7" w:name="_Toc143592635"/>
      <w:r>
        <w:rPr>
          <w:rFonts w:hint="eastAsia" w:ascii="华文楷体" w:hAnsi="华文楷体" w:eastAsia="华文楷体"/>
          <w:highlight w:val="none"/>
        </w:rPr>
        <w:t>四、财政拨款收入支出决算总表</w:t>
      </w:r>
      <w:bookmarkEnd w:id="7"/>
      <w:r>
        <w:rPr>
          <w:rFonts w:ascii="Cambria" w:hAnsi="Cambria" w:eastAsia="宋体" w:cs="黑体"/>
          <w:b/>
          <w:bCs/>
          <w:kern w:val="2"/>
          <w:sz w:val="32"/>
          <w:szCs w:val="32"/>
          <w:highlight w:val="none"/>
          <w:lang w:val="en-US" w:eastAsia="zh-CN" w:bidi="ar-SA"/>
        </w:rPr>
        <w:pict>
          <v:shape id="Picture 4" o:spid="_x0000_s1031" type="#_x0000_t75" style="height:597.85pt;width:446.25pt;rotation:0f;" o:ole="f" fillcolor="#FFFFFF" filled="f" o:preferrelative="t" stroked="f" coordorigin="0,0" coordsize="21600,21600">
            <v:fill on="f" color2="#FFFFFF" focus="0%"/>
            <v:imagedata gain="65536f" blacklevel="0f" gamma="0" o:title="公开04表财政拨款收入决算总表" r:id="rId10"/>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bCs w:val="0"/>
          <w:highlight w:val="none"/>
        </w:rPr>
      </w:pPr>
      <w:bookmarkStart w:id="8" w:name="_Toc143592636"/>
      <w:r>
        <w:rPr>
          <w:rFonts w:hint="eastAsia" w:ascii="华文楷体" w:hAnsi="华文楷体" w:eastAsia="华文楷体"/>
          <w:highlight w:val="none"/>
        </w:rPr>
        <w:t>五、一般公共预算财政拨款支出决算表</w:t>
      </w:r>
      <w:bookmarkEnd w:id="8"/>
    </w:p>
    <w:p>
      <w:pPr>
        <w:adjustRightInd w:val="0"/>
        <w:snapToGrid w:val="0"/>
        <w:spacing w:line="580" w:lineRule="atLeast"/>
        <w:rPr>
          <w:rFonts w:ascii="黑体" w:hAnsi="黑体" w:eastAsia="黑体" w:cs="黑体"/>
          <w:bCs/>
          <w:szCs w:val="32"/>
          <w:highlight w:val="none"/>
        </w:rPr>
      </w:pPr>
      <w:r>
        <w:rPr>
          <w:rFonts w:ascii="Times New Roman" w:hAnsi="Times New Roman" w:eastAsia="仿宋_GB2312" w:cs="Times New Roman"/>
          <w:kern w:val="2"/>
          <w:sz w:val="32"/>
          <w:szCs w:val="22"/>
          <w:highlight w:val="none"/>
          <w:lang w:val="en-US" w:eastAsia="zh-CN" w:bidi="ar-SA"/>
        </w:rPr>
        <w:pict>
          <v:shape id="Picture 5" o:spid="_x0000_s1032" type="#_x0000_t75" style="height:217.5pt;width:450.75pt;rotation:0f;" o:ole="f" fillcolor="#FFFFFF" filled="f" o:preferrelative="t" stroked="f" coordorigin="0,0" coordsize="21600,21600">
            <v:fill on="f" color2="#FFFFFF" focus="0%"/>
            <v:imagedata gain="65536f" blacklevel="0f" gamma="0" o:title="一般公共预算财政拨款支出决算表" r:id="rId11"/>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bCs w:val="0"/>
          <w:highlight w:val="none"/>
        </w:rPr>
      </w:pPr>
      <w:bookmarkStart w:id="9" w:name="_Toc143592637"/>
      <w:r>
        <w:rPr>
          <w:rFonts w:hint="eastAsia" w:ascii="华文楷体" w:hAnsi="华文楷体" w:eastAsia="华文楷体"/>
          <w:highlight w:val="none"/>
        </w:rPr>
        <w:t>六、一般公共预算财政拨款基本支出决算明细表</w:t>
      </w:r>
      <w:bookmarkEnd w:id="9"/>
    </w:p>
    <w:p>
      <w:pPr>
        <w:adjustRightInd w:val="0"/>
        <w:snapToGrid w:val="0"/>
        <w:spacing w:line="580" w:lineRule="atLeast"/>
        <w:rPr>
          <w:rFonts w:ascii="黑体" w:hAnsi="黑体" w:eastAsia="黑体" w:cs="黑体"/>
          <w:bCs/>
          <w:szCs w:val="32"/>
          <w:highlight w:val="none"/>
        </w:rPr>
      </w:pPr>
      <w:r>
        <w:rPr>
          <w:rFonts w:ascii="Times New Roman" w:hAnsi="Times New Roman" w:eastAsia="仿宋_GB2312" w:cs="Times New Roman"/>
          <w:kern w:val="2"/>
          <w:sz w:val="32"/>
          <w:szCs w:val="22"/>
          <w:highlight w:val="none"/>
          <w:lang w:val="en-US" w:eastAsia="zh-CN" w:bidi="ar-SA"/>
        </w:rPr>
        <w:pict>
          <v:shape id="图片 16" o:spid="_x0000_s1033" type="#_x0000_t75" style="height:381.75pt;width:468.75pt;rotation:0f;" o:ole="f" fillcolor="#FFFFFF" filled="f" o:preferrelative="t" stroked="f" coordorigin="0,0" coordsize="21600,21600">
            <v:fill on="f" color2="#FFFFFF" focus="0%"/>
            <v:imagedata gain="65536f" blacklevel="0f" gamma="0" o:title="一般公共预算财政拨款基本支出决算明细表" r:id="rId12"/>
            <o:lock v:ext="edit" position="f" selection="f" grouping="f" rotation="f" cropping="f" text="f" aspectratio="t"/>
            <w10:wrap type="none"/>
            <w10:anchorlock/>
          </v:shape>
        </w:pict>
      </w:r>
    </w:p>
    <w:p>
      <w:pPr>
        <w:pStyle w:val="21"/>
        <w:ind w:firstLine="628" w:firstLineChars="196"/>
        <w:jc w:val="left"/>
        <w:rPr>
          <w:rFonts w:hint="eastAsia" w:ascii="华文楷体" w:hAnsi="华文楷体" w:eastAsia="华文楷体"/>
          <w:highlight w:val="none"/>
        </w:rPr>
      </w:pPr>
      <w:bookmarkStart w:id="10" w:name="_Toc143592639"/>
      <w:r>
        <w:rPr>
          <w:rFonts w:hint="eastAsia" w:ascii="华文楷体" w:hAnsi="华文楷体" w:eastAsia="华文楷体"/>
          <w:highlight w:val="none"/>
        </w:rPr>
        <w:t>七、政府性基金预算财政拨款收入支出决算表</w:t>
      </w:r>
      <w:bookmarkEnd w:id="10"/>
    </w:p>
    <w:p>
      <w:pPr>
        <w:rPr>
          <w:highlight w:val="none"/>
        </w:rPr>
      </w:pPr>
    </w:p>
    <w:p>
      <w:pPr>
        <w:adjustRightInd w:val="0"/>
        <w:snapToGrid w:val="0"/>
        <w:spacing w:line="580" w:lineRule="atLeast"/>
        <w:rPr>
          <w:rFonts w:ascii="黑体" w:hAnsi="黑体" w:eastAsia="黑体" w:cs="黑体"/>
          <w:bCs/>
          <w:szCs w:val="32"/>
          <w:highlight w:val="none"/>
        </w:rPr>
      </w:pPr>
      <w:r>
        <w:rPr>
          <w:rFonts w:ascii="Times New Roman" w:hAnsi="Times New Roman" w:eastAsia="仿宋_GB2312" w:cs="Times New Roman"/>
          <w:kern w:val="2"/>
          <w:sz w:val="32"/>
          <w:szCs w:val="22"/>
          <w:highlight w:val="none"/>
          <w:lang w:val="en-US" w:eastAsia="zh-CN" w:bidi="ar-SA"/>
        </w:rPr>
        <w:pict>
          <v:shape id="图片 15" o:spid="_x0000_s1034" type="#_x0000_t75" style="height:125.3pt;width:480.2pt;rotation:0f;" o:ole="f" fillcolor="#FFFFFF" filled="f" o:preferrelative="t" stroked="f" coordorigin="0,0" coordsize="21600,21600">
            <v:fill on="f" color2="#FFFFFF" focus="0%"/>
            <v:imagedata gain="65536f" blacklevel="0f" gamma="0" o:title="g07政府性基金预算财政拨款收入支出决算表" r:id="rId13"/>
            <o:lock v:ext="edit" position="f" selection="f" grouping="f" rotation="f" cropping="f" text="f" aspectratio="t"/>
            <w10:wrap type="none"/>
            <w10:anchorlock/>
          </v:shape>
        </w:pict>
      </w:r>
    </w:p>
    <w:p>
      <w:pPr>
        <w:pStyle w:val="21"/>
        <w:ind w:firstLine="628" w:firstLineChars="196"/>
        <w:jc w:val="left"/>
        <w:rPr>
          <w:rFonts w:hint="eastAsia" w:ascii="华文楷体" w:hAnsi="华文楷体" w:eastAsia="华文楷体"/>
          <w:highlight w:val="none"/>
        </w:rPr>
      </w:pPr>
      <w:bookmarkStart w:id="11" w:name="_Toc143592640"/>
      <w:r>
        <w:rPr>
          <w:rFonts w:hint="eastAsia" w:ascii="华文楷体" w:hAnsi="华文楷体" w:eastAsia="华文楷体"/>
          <w:highlight w:val="none"/>
        </w:rPr>
        <w:t>八、国有资本经营预算财政拨款支出决算表</w:t>
      </w:r>
      <w:bookmarkEnd w:id="11"/>
    </w:p>
    <w:p>
      <w:pPr>
        <w:rPr>
          <w:rFonts w:ascii="黑体" w:hAnsi="黑体" w:eastAsia="黑体" w:cs="黑体"/>
          <w:szCs w:val="32"/>
          <w:highlight w:val="none"/>
        </w:rPr>
      </w:pPr>
      <w:r>
        <w:rPr>
          <w:rFonts w:ascii="Times New Roman" w:hAnsi="Times New Roman" w:eastAsia="仿宋_GB2312" w:cs="Times New Roman"/>
          <w:kern w:val="2"/>
          <w:sz w:val="32"/>
          <w:szCs w:val="22"/>
          <w:highlight w:val="none"/>
          <w:lang w:val="en-US" w:eastAsia="zh-CN" w:bidi="ar-SA"/>
        </w:rPr>
        <w:pict>
          <v:shape id="图片 25" o:spid="_x0000_s1035" type="#_x0000_t75" style="height:177.85pt;width:471.75pt;rotation:0f;" o:ole="f" fillcolor="#FFFFFF" filled="f" o:preferrelative="t" stroked="f" coordorigin="0,0" coordsize="21600,21600">
            <v:fill on="f" color2="#FFFFFF" focus="0%"/>
            <v:imagedata gain="65536f" blacklevel="0f" gamma="0" o:title="g08国有资本经营预算财政拨款支出决算表" r:id="rId14"/>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bCs w:val="0"/>
          <w:highlight w:val="none"/>
        </w:rPr>
      </w:pPr>
      <w:bookmarkStart w:id="12" w:name="_Toc143592638"/>
      <w:r>
        <w:rPr>
          <w:rFonts w:hint="eastAsia" w:ascii="华文楷体" w:hAnsi="华文楷体" w:eastAsia="华文楷体"/>
          <w:highlight w:val="none"/>
        </w:rPr>
        <w:t>九、财政拨款“三公”经费支出决算表</w:t>
      </w:r>
      <w:bookmarkEnd w:id="12"/>
    </w:p>
    <w:p>
      <w:pPr>
        <w:adjustRightInd w:val="0"/>
        <w:snapToGrid w:val="0"/>
        <w:spacing w:line="580" w:lineRule="atLeast"/>
        <w:rPr>
          <w:rFonts w:ascii="黑体" w:hAnsi="黑体" w:eastAsia="黑体"/>
          <w:highlight w:val="none"/>
        </w:rPr>
      </w:pPr>
      <w:r>
        <w:rPr>
          <w:rFonts w:ascii="Times New Roman" w:hAnsi="Times New Roman" w:eastAsia="仿宋_GB2312" w:cs="Times New Roman"/>
          <w:kern w:val="2"/>
          <w:sz w:val="32"/>
          <w:szCs w:val="22"/>
          <w:highlight w:val="none"/>
          <w:lang w:val="en-US" w:eastAsia="zh-CN" w:bidi="ar-SA"/>
        </w:rPr>
        <w:pict>
          <v:shape id="图片 13" o:spid="_x0000_s1036" type="#_x0000_t75" style="height:209.25pt;width:474pt;rotation:0f;" o:ole="f" fillcolor="#FFFFFF" filled="f" o:preferrelative="t" stroked="f" coordorigin="0,0" coordsize="21600,21600">
            <v:fill on="f" color2="#FFFFFF" focus="0%"/>
            <v:imagedata gain="65536f" blacklevel="0f" gamma="0" o:title="公开09表-财政拨款“三公”经费支出决算表" r:id="rId15"/>
            <o:lock v:ext="edit" position="f" selection="f" grouping="f" rotation="f" cropping="f" text="f" aspectratio="t"/>
            <w10:wrap type="none"/>
            <w10:anchorlock/>
          </v:shape>
        </w:pict>
      </w:r>
      <w:bookmarkStart w:id="13" w:name="_Toc143592641"/>
    </w:p>
    <w:p>
      <w:pPr>
        <w:pStyle w:val="21"/>
        <w:ind w:firstLine="630" w:firstLineChars="196"/>
        <w:jc w:val="left"/>
        <w:rPr>
          <w:rFonts w:ascii="黑体" w:hAnsi="黑体" w:eastAsia="黑体"/>
          <w:highlight w:val="none"/>
        </w:rPr>
      </w:pPr>
      <w:r>
        <w:rPr>
          <w:rFonts w:hint="eastAsia" w:ascii="黑体" w:hAnsi="黑体" w:eastAsia="黑体"/>
          <w:highlight w:val="none"/>
        </w:rPr>
        <w:t>第三部分  湖北省咸宁市中级人民法院2022年度部门决算情况说明</w:t>
      </w:r>
      <w:bookmarkEnd w:id="13"/>
    </w:p>
    <w:p>
      <w:pPr>
        <w:pStyle w:val="21"/>
        <w:ind w:firstLine="628" w:firstLineChars="196"/>
        <w:jc w:val="left"/>
        <w:rPr>
          <w:rFonts w:ascii="华文楷体" w:hAnsi="华文楷体" w:eastAsia="华文楷体"/>
          <w:bCs w:val="0"/>
          <w:highlight w:val="none"/>
        </w:rPr>
      </w:pPr>
      <w:bookmarkStart w:id="14" w:name="_Toc143592642"/>
      <w:r>
        <w:rPr>
          <w:rFonts w:hint="eastAsia" w:ascii="华文楷体" w:hAnsi="华文楷体" w:eastAsia="华文楷体"/>
          <w:highlight w:val="none"/>
        </w:rPr>
        <w:t>一、收入支出决算总体情况说明</w:t>
      </w:r>
      <w:bookmarkEnd w:id="14"/>
    </w:p>
    <w:p>
      <w:pPr>
        <w:snapToGrid w:val="0"/>
        <w:spacing w:line="560" w:lineRule="exact"/>
        <w:ind w:firstLine="640" w:firstLineChars="200"/>
        <w:rPr>
          <w:rFonts w:ascii="仿宋_GB2312" w:hAnsi="华文仿宋"/>
          <w:color w:val="FF0000"/>
          <w:szCs w:val="32"/>
          <w:highlight w:val="none"/>
        </w:rPr>
      </w:pPr>
      <w:r>
        <w:rPr>
          <w:rFonts w:hint="eastAsia" w:ascii="仿宋_GB2312" w:hAnsi="宋体"/>
          <w:bCs/>
          <w:szCs w:val="32"/>
          <w:highlight w:val="none"/>
        </w:rPr>
        <w:t>2022年度收、支总计均为5453.94万元。与2021年度相比，收、支总计各增加1689.45万元，增幅44.9 %，主要原因</w:t>
      </w:r>
      <w:r>
        <w:rPr>
          <w:rFonts w:hint="eastAsia" w:ascii="仿宋_GB2312" w:hAnsi="宋体"/>
          <w:bCs/>
          <w:szCs w:val="32"/>
          <w:highlight w:val="none"/>
          <w:lang w:eastAsia="zh-CN"/>
        </w:rPr>
        <w:t>一是省财政将</w:t>
      </w:r>
      <w:r>
        <w:rPr>
          <w:rFonts w:hint="eastAsia" w:ascii="仿宋_GB2312" w:hAnsi="宋体"/>
          <w:bCs/>
          <w:szCs w:val="32"/>
          <w:highlight w:val="none"/>
          <w:lang w:val="en-US" w:eastAsia="zh-CN"/>
        </w:rPr>
        <w:t>2021年度因政策性原因未执行完毕的部分人员经费按原用途结转下达；二是省财政厅下达全省法院2022年度调资经费，增加相关经费；三是2022年度新招录一批公务员及雇员制书记员，增加相关经费。</w:t>
      </w:r>
    </w:p>
    <w:p>
      <w:pPr>
        <w:adjustRightInd w:val="0"/>
        <w:snapToGrid w:val="0"/>
        <w:spacing w:line="580" w:lineRule="atLeast"/>
        <w:ind w:firstLine="600" w:firstLineChars="200"/>
        <w:jc w:val="center"/>
        <w:rPr>
          <w:rFonts w:ascii="仿宋_GB2312" w:hAnsi="宋体"/>
          <w:bCs/>
          <w:sz w:val="30"/>
          <w:szCs w:val="30"/>
          <w:highlight w:val="none"/>
        </w:rPr>
      </w:pPr>
      <w:r>
        <w:rPr>
          <w:rFonts w:hint="eastAsia" w:ascii="仿宋_GB2312" w:hAnsi="宋体"/>
          <w:bCs/>
          <w:sz w:val="30"/>
          <w:szCs w:val="30"/>
          <w:highlight w:val="none"/>
        </w:rPr>
        <w:t>图1：收、支决算总计变动情况</w:t>
      </w:r>
    </w:p>
    <w:p>
      <w:pPr>
        <w:adjustRightInd w:val="0"/>
        <w:snapToGrid w:val="0"/>
        <w:spacing w:line="580" w:lineRule="atLeast"/>
        <w:ind w:firstLine="640" w:firstLineChars="200"/>
        <w:jc w:val="center"/>
        <w:rPr>
          <w:rFonts w:ascii="仿宋_GB2312" w:hAnsi="宋体"/>
          <w:bCs/>
          <w:sz w:val="30"/>
          <w:szCs w:val="30"/>
          <w:highlight w:val="none"/>
        </w:rPr>
      </w:pPr>
      <w:r>
        <w:rPr>
          <w:rFonts w:ascii="Times New Roman" w:hAnsi="Times New Roman" w:eastAsia="仿宋_GB2312" w:cs="Times New Roman"/>
          <w:kern w:val="2"/>
          <w:sz w:val="32"/>
          <w:szCs w:val="22"/>
          <w:highlight w:val="none"/>
          <w:lang w:val="en-US" w:eastAsia="zh-CN" w:bidi="ar-SA"/>
        </w:rPr>
        <w:pict>
          <v:shape id="图表 6" o:spid="_x0000_s1037" type="#_x0000_t75" style="height:198pt;width:375.75pt;rotation:0f;" o:ole="f" fillcolor="#FFFFFF" filled="f" o:preferrelative="t" stroked="f" coordorigin="0,0" coordsize="21600,21600">
            <v:fill on="f" color2="#FFFFFF" focus="0%"/>
            <v:imagedata gain="65536f" blacklevel="0f" gamma="0" o:title="图片1" r:id="rId16"/>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bCs w:val="0"/>
          <w:highlight w:val="none"/>
        </w:rPr>
      </w:pPr>
      <w:bookmarkStart w:id="15" w:name="_Toc143592643"/>
      <w:r>
        <w:rPr>
          <w:rFonts w:hint="eastAsia" w:ascii="华文楷体" w:hAnsi="华文楷体" w:eastAsia="华文楷体"/>
          <w:highlight w:val="none"/>
        </w:rPr>
        <w:t>二、收入决算情况说明</w:t>
      </w:r>
      <w:bookmarkEnd w:id="15"/>
    </w:p>
    <w:p>
      <w:pPr>
        <w:ind w:firstLine="645"/>
        <w:rPr>
          <w:highlight w:val="none"/>
        </w:rPr>
      </w:pPr>
      <w:r>
        <w:rPr>
          <w:rFonts w:hint="eastAsia" w:ascii="仿宋_GB2312" w:hAnsi="宋体"/>
          <w:bCs/>
          <w:szCs w:val="32"/>
          <w:highlight w:val="none"/>
        </w:rPr>
        <w:t>2022年度收入合计</w:t>
      </w:r>
      <w:r>
        <w:rPr>
          <w:rFonts w:hint="eastAsia"/>
          <w:bCs/>
          <w:szCs w:val="32"/>
          <w:highlight w:val="none"/>
        </w:rPr>
        <w:t>5453.94</w:t>
      </w:r>
      <w:r>
        <w:rPr>
          <w:rFonts w:hint="eastAsia" w:ascii="仿宋_GB2312" w:hAnsi="宋体"/>
          <w:bCs/>
          <w:szCs w:val="32"/>
          <w:highlight w:val="none"/>
        </w:rPr>
        <w:t>万元，与2021年度相比，收入合计增加</w:t>
      </w:r>
      <w:r>
        <w:rPr>
          <w:rFonts w:hint="eastAsia"/>
          <w:bCs/>
          <w:szCs w:val="32"/>
          <w:highlight w:val="none"/>
        </w:rPr>
        <w:t>1689.45</w:t>
      </w:r>
      <w:r>
        <w:rPr>
          <w:rFonts w:hint="eastAsia" w:ascii="仿宋_GB2312" w:hAnsi="宋体"/>
          <w:bCs/>
          <w:szCs w:val="32"/>
          <w:highlight w:val="none"/>
        </w:rPr>
        <w:t>万元，增长</w:t>
      </w:r>
      <w:r>
        <w:rPr>
          <w:rFonts w:hint="eastAsia"/>
          <w:bCs/>
          <w:szCs w:val="32"/>
          <w:highlight w:val="none"/>
        </w:rPr>
        <w:t>44.9</w:t>
      </w:r>
      <w:r>
        <w:rPr>
          <w:rFonts w:hint="eastAsia" w:ascii="仿宋_GB2312" w:hAnsi="宋体"/>
          <w:bCs/>
          <w:szCs w:val="32"/>
          <w:highlight w:val="none"/>
        </w:rPr>
        <w:t>%。其中：财政拨款收入</w:t>
      </w:r>
      <w:r>
        <w:rPr>
          <w:rFonts w:hint="eastAsia"/>
          <w:bCs/>
          <w:szCs w:val="32"/>
          <w:highlight w:val="none"/>
        </w:rPr>
        <w:t>5145.48</w:t>
      </w:r>
      <w:r>
        <w:rPr>
          <w:rFonts w:hint="eastAsia" w:ascii="仿宋_GB2312" w:hAnsi="宋体"/>
          <w:bCs/>
          <w:szCs w:val="32"/>
          <w:highlight w:val="none"/>
        </w:rPr>
        <w:t>万元，占本年收入</w:t>
      </w:r>
      <w:r>
        <w:rPr>
          <w:rFonts w:hint="eastAsia"/>
          <w:bCs/>
          <w:szCs w:val="32"/>
          <w:highlight w:val="none"/>
        </w:rPr>
        <w:t>94.3</w:t>
      </w:r>
      <w:r>
        <w:rPr>
          <w:rFonts w:hint="eastAsia" w:ascii="仿宋_GB2312" w:hAnsi="宋体"/>
          <w:bCs/>
          <w:szCs w:val="32"/>
          <w:highlight w:val="none"/>
        </w:rPr>
        <w:t>%；</w:t>
      </w:r>
      <w:r>
        <w:rPr>
          <w:rFonts w:hint="eastAsia"/>
          <w:highlight w:val="none"/>
        </w:rPr>
        <w:t>其他收入308.46万元，占本年收入5.7%。</w:t>
      </w:r>
    </w:p>
    <w:p>
      <w:pPr>
        <w:jc w:val="center"/>
        <w:rPr>
          <w:rFonts w:ascii="仿宋_GB2312" w:hAnsi="仿宋_GB2312" w:cs="仿宋_GB2312"/>
          <w:sz w:val="30"/>
          <w:szCs w:val="30"/>
          <w:highlight w:val="none"/>
        </w:rPr>
      </w:pPr>
      <w:r>
        <w:rPr>
          <w:rFonts w:hint="eastAsia" w:ascii="仿宋_GB2312" w:hAnsi="仿宋_GB2312" w:cs="仿宋_GB2312"/>
          <w:sz w:val="30"/>
          <w:szCs w:val="30"/>
          <w:highlight w:val="none"/>
        </w:rPr>
        <w:t>图2：收入决算结构（万元）</w:t>
      </w:r>
    </w:p>
    <w:p>
      <w:pPr>
        <w:jc w:val="center"/>
        <w:rPr>
          <w:rFonts w:ascii="仿宋_GB2312" w:hAnsi="仿宋_GB2312" w:cs="仿宋_GB2312"/>
          <w:sz w:val="30"/>
          <w:szCs w:val="30"/>
          <w:highlight w:val="none"/>
        </w:rPr>
      </w:pPr>
      <w:r>
        <w:rPr>
          <w:rFonts w:ascii="Times New Roman" w:hAnsi="Times New Roman" w:eastAsia="仿宋_GB2312" w:cs="Times New Roman"/>
          <w:kern w:val="2"/>
          <w:sz w:val="32"/>
          <w:szCs w:val="22"/>
          <w:highlight w:val="none"/>
          <w:lang w:val="en-US" w:eastAsia="zh-CN" w:bidi="ar-SA"/>
        </w:rPr>
        <w:pict>
          <v:shape id="图表 4" o:spid="_x0000_s1038" type="#_x0000_t75" style="height:175.5pt;width:385.5pt;rotation:0f;" o:ole="f" fillcolor="#FFFFFF" filled="f" o:preferrelative="t" stroked="f" coordorigin="0,0" coordsize="21600,21600">
            <v:fill on="f" color2="#FFFFFF" focus="0%"/>
            <v:imagedata gain="65536f" blacklevel="0f" gamma="0" o:title="图片2收入决算结构（万元）" r:id="rId17"/>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highlight w:val="none"/>
        </w:rPr>
      </w:pPr>
      <w:bookmarkStart w:id="16" w:name="_Toc143592644"/>
      <w:r>
        <w:rPr>
          <w:rFonts w:hint="eastAsia" w:ascii="华文楷体" w:hAnsi="华文楷体" w:eastAsia="华文楷体"/>
          <w:highlight w:val="none"/>
        </w:rPr>
        <w:t>三、支出决算情况说明</w:t>
      </w:r>
      <w:bookmarkEnd w:id="16"/>
    </w:p>
    <w:p>
      <w:pPr>
        <w:ind w:firstLine="640" w:firstLineChars="200"/>
        <w:rPr>
          <w:rFonts w:ascii="仿宋_GB2312"/>
          <w:bCs/>
          <w:kern w:val="44"/>
          <w:szCs w:val="32"/>
          <w:highlight w:val="none"/>
        </w:rPr>
      </w:pPr>
      <w:r>
        <w:rPr>
          <w:rFonts w:hint="eastAsia"/>
          <w:highlight w:val="none"/>
        </w:rPr>
        <w:t>2022年度支出合计5453.94万元，与2021年度相比，支出合计增加1689.45万元，增长44.9%。</w:t>
      </w:r>
      <w:r>
        <w:rPr>
          <w:rFonts w:hint="eastAsia" w:ascii="仿宋_GB2312"/>
          <w:bCs/>
          <w:kern w:val="44"/>
          <w:szCs w:val="32"/>
          <w:highlight w:val="none"/>
        </w:rPr>
        <w:t>其中：基本支出</w:t>
      </w:r>
      <w:r>
        <w:rPr>
          <w:rFonts w:hint="eastAsia"/>
          <w:highlight w:val="none"/>
        </w:rPr>
        <w:t>4511.43</w:t>
      </w:r>
      <w:r>
        <w:rPr>
          <w:rFonts w:hint="eastAsia" w:ascii="仿宋_GB2312"/>
          <w:bCs/>
          <w:kern w:val="44"/>
          <w:szCs w:val="32"/>
          <w:highlight w:val="none"/>
        </w:rPr>
        <w:t>万元，占本年支出</w:t>
      </w:r>
      <w:r>
        <w:rPr>
          <w:rFonts w:hint="eastAsia"/>
          <w:highlight w:val="none"/>
        </w:rPr>
        <w:t>82.7</w:t>
      </w:r>
      <w:r>
        <w:rPr>
          <w:rFonts w:hint="eastAsia" w:ascii="仿宋_GB2312"/>
          <w:bCs/>
          <w:kern w:val="44"/>
          <w:szCs w:val="32"/>
          <w:highlight w:val="none"/>
        </w:rPr>
        <w:t>%；项目支出</w:t>
      </w:r>
      <w:r>
        <w:rPr>
          <w:rFonts w:hint="eastAsia"/>
          <w:highlight w:val="none"/>
        </w:rPr>
        <w:t>942.51</w:t>
      </w:r>
      <w:r>
        <w:rPr>
          <w:rFonts w:hint="eastAsia" w:ascii="仿宋_GB2312"/>
          <w:bCs/>
          <w:kern w:val="44"/>
          <w:szCs w:val="32"/>
          <w:highlight w:val="none"/>
        </w:rPr>
        <w:t>万元，占本年支出</w:t>
      </w:r>
      <w:r>
        <w:rPr>
          <w:rFonts w:hint="eastAsia"/>
          <w:highlight w:val="none"/>
        </w:rPr>
        <w:t>17.3</w:t>
      </w:r>
      <w:r>
        <w:rPr>
          <w:rFonts w:hint="eastAsia" w:ascii="仿宋_GB2312"/>
          <w:bCs/>
          <w:kern w:val="44"/>
          <w:szCs w:val="32"/>
          <w:highlight w:val="none"/>
        </w:rPr>
        <w:t>%。</w:t>
      </w:r>
    </w:p>
    <w:p>
      <w:pPr>
        <w:jc w:val="center"/>
        <w:rPr>
          <w:rFonts w:ascii="仿宋_GB2312" w:hAnsi="仿宋_GB2312" w:cs="仿宋_GB2312"/>
          <w:sz w:val="30"/>
          <w:szCs w:val="30"/>
          <w:highlight w:val="none"/>
        </w:rPr>
      </w:pPr>
      <w:r>
        <w:rPr>
          <w:rFonts w:hint="eastAsia" w:ascii="仿宋_GB2312" w:hAnsi="仿宋_GB2312" w:cs="仿宋_GB2312"/>
          <w:sz w:val="30"/>
          <w:szCs w:val="30"/>
          <w:highlight w:val="none"/>
        </w:rPr>
        <w:t>图3：支出决算结构（万元）</w:t>
      </w:r>
    </w:p>
    <w:p>
      <w:pPr>
        <w:jc w:val="center"/>
        <w:rPr>
          <w:rFonts w:ascii="仿宋_GB2312" w:hAnsi="仿宋_GB2312" w:cs="仿宋_GB2312"/>
          <w:sz w:val="30"/>
          <w:szCs w:val="30"/>
          <w:highlight w:val="none"/>
        </w:rPr>
      </w:pPr>
    </w:p>
    <w:p>
      <w:pPr>
        <w:rPr>
          <w:highlight w:val="none"/>
        </w:rPr>
      </w:pPr>
      <w:r>
        <w:rPr>
          <w:rFonts w:hint="eastAsia"/>
          <w:highlight w:val="none"/>
        </w:rPr>
        <w:t xml:space="preserve">   </w:t>
      </w:r>
      <w:r>
        <w:rPr>
          <w:rFonts w:ascii="Times New Roman" w:hAnsi="Times New Roman" w:eastAsia="仿宋_GB2312" w:cs="Times New Roman"/>
          <w:kern w:val="2"/>
          <w:sz w:val="32"/>
          <w:szCs w:val="22"/>
          <w:highlight w:val="none"/>
          <w:lang w:val="en-US" w:eastAsia="zh-CN" w:bidi="ar-SA"/>
        </w:rPr>
        <w:pict>
          <v:shape id="图表 10" o:spid="_x0000_s1039" type="#_x0000_t75" style="height:209.25pt;width:377.25pt;rotation:0f;" o:ole="f" fillcolor="#FFFFFF" filled="f" o:preferrelative="t" stroked="f" coordorigin="0,0" coordsize="21600,21600">
            <v:fill on="f" color2="#FFFFFF" focus="0%"/>
            <v:imagedata gain="65536f" blacklevel="0f" gamma="0" o:title="图片3支出决算结构（万元）" r:id="rId18"/>
            <o:lock v:ext="edit" position="f" selection="f" grouping="f" rotation="f" cropping="f" text="f" aspectratio="t"/>
            <w10:wrap type="none"/>
            <w10:anchorlock/>
          </v:shape>
        </w:pict>
      </w:r>
    </w:p>
    <w:p>
      <w:pPr>
        <w:pStyle w:val="21"/>
        <w:ind w:firstLine="628" w:firstLineChars="196"/>
        <w:jc w:val="left"/>
        <w:rPr>
          <w:rFonts w:ascii="华文楷体" w:hAnsi="华文楷体" w:eastAsia="华文楷体"/>
          <w:highlight w:val="none"/>
        </w:rPr>
      </w:pPr>
      <w:bookmarkStart w:id="17" w:name="_Toc143592645"/>
      <w:r>
        <w:rPr>
          <w:rFonts w:hint="eastAsia" w:ascii="华文楷体" w:hAnsi="华文楷体" w:eastAsia="华文楷体"/>
          <w:highlight w:val="none"/>
        </w:rPr>
        <w:t>四、财政拨款收入支出决算总体情况说明</w:t>
      </w:r>
      <w:bookmarkEnd w:id="17"/>
    </w:p>
    <w:p>
      <w:pPr>
        <w:ind w:firstLine="640" w:firstLineChars="200"/>
        <w:rPr>
          <w:highlight w:val="none"/>
        </w:rPr>
      </w:pPr>
      <w:r>
        <w:rPr>
          <w:rFonts w:hint="eastAsia"/>
          <w:highlight w:val="none"/>
        </w:rPr>
        <w:t>2022年度财政拨款收、支总计均为5145.48万元。与2021年度相比，财政拨款收、支总计各增加1788.43万元，增长 53.3%。主要原因</w:t>
      </w:r>
      <w:r>
        <w:rPr>
          <w:rFonts w:hint="eastAsia" w:ascii="仿宋_GB2312" w:hAnsi="仿宋"/>
          <w:color w:val="000000"/>
          <w:szCs w:val="32"/>
          <w:highlight w:val="none"/>
        </w:rPr>
        <w:t>一是</w:t>
      </w:r>
      <w:r>
        <w:rPr>
          <w:rFonts w:hint="eastAsia" w:ascii="仿宋_GB2312" w:hAnsi="华文仿宋"/>
          <w:color w:val="000000"/>
          <w:szCs w:val="32"/>
          <w:highlight w:val="none"/>
        </w:rPr>
        <w:t>2022年度新增一批雇员制司法辅助人员，增加相关预算经费；二是</w:t>
      </w:r>
      <w:r>
        <w:rPr>
          <w:rFonts w:hint="eastAsia" w:ascii="仿宋_GB2312" w:hAnsi="仿宋" w:cs="仿宋"/>
          <w:szCs w:val="32"/>
          <w:highlight w:val="none"/>
        </w:rPr>
        <w:t>省财政厅下达</w:t>
      </w:r>
      <w:r>
        <w:rPr>
          <w:rFonts w:hint="eastAsia" w:ascii="仿宋_GB2312" w:hAnsi="仿宋" w:cs="仿宋"/>
          <w:szCs w:val="32"/>
          <w:highlight w:val="none"/>
          <w:lang w:eastAsia="zh-CN"/>
        </w:rPr>
        <w:t>法院</w:t>
      </w:r>
      <w:r>
        <w:rPr>
          <w:rFonts w:hint="eastAsia" w:ascii="仿宋_GB2312" w:hAnsi="仿宋" w:cs="仿宋"/>
          <w:szCs w:val="32"/>
          <w:highlight w:val="none"/>
        </w:rPr>
        <w:t>2022年度调资经费，</w:t>
      </w:r>
      <w:r>
        <w:rPr>
          <w:rFonts w:hint="eastAsia" w:ascii="仿宋_GB2312" w:hAnsi="华文仿宋"/>
          <w:color w:val="000000"/>
          <w:szCs w:val="32"/>
          <w:highlight w:val="none"/>
        </w:rPr>
        <w:t>增加相关经费</w:t>
      </w:r>
      <w:r>
        <w:rPr>
          <w:rFonts w:hint="eastAsia" w:ascii="仿宋_GB2312" w:hAnsi="华文仿宋"/>
          <w:color w:val="000000"/>
          <w:szCs w:val="32"/>
          <w:highlight w:val="none"/>
          <w:lang w:eastAsia="zh-CN"/>
        </w:rPr>
        <w:t>；三是省财政厅将</w:t>
      </w:r>
      <w:r>
        <w:rPr>
          <w:rFonts w:hint="eastAsia" w:ascii="仿宋_GB2312" w:hAnsi="华文仿宋"/>
          <w:color w:val="000000"/>
          <w:szCs w:val="32"/>
          <w:highlight w:val="none"/>
          <w:lang w:val="en-US" w:eastAsia="zh-CN"/>
        </w:rPr>
        <w:t>2021年度因政策性原因未执行完毕的部分人员经费按原用途结转下达；四是2022年度压缩了3%相比2021年度压缩的10%，减少了一般性支出的压缩</w:t>
      </w:r>
      <w:r>
        <w:rPr>
          <w:rFonts w:hint="eastAsia"/>
          <w:highlight w:val="none"/>
        </w:rPr>
        <w:t>。</w:t>
      </w:r>
    </w:p>
    <w:p>
      <w:pPr>
        <w:ind w:firstLine="640" w:firstLineChars="200"/>
        <w:rPr>
          <w:highlight w:val="none"/>
        </w:rPr>
      </w:pPr>
      <w:r>
        <w:rPr>
          <w:rFonts w:hint="eastAsia"/>
          <w:highlight w:val="none"/>
        </w:rPr>
        <w:t>2022年度财政拨款收入中，一般公共预算财政拨款收入    5145.48万元，比2021年度决算数增加1788.43万元</w:t>
      </w:r>
      <w:r>
        <w:rPr>
          <w:rFonts w:hint="eastAsia" w:ascii="仿宋_GB2312" w:hAnsi="宋体"/>
          <w:bCs/>
          <w:szCs w:val="32"/>
          <w:highlight w:val="none"/>
        </w:rPr>
        <w:t>。</w:t>
      </w:r>
      <w:r>
        <w:rPr>
          <w:rFonts w:hint="eastAsia"/>
          <w:highlight w:val="none"/>
        </w:rPr>
        <w:t>增加的主要原因是</w:t>
      </w:r>
      <w:r>
        <w:rPr>
          <w:rFonts w:hint="eastAsia"/>
          <w:highlight w:val="none"/>
          <w:lang w:eastAsia="zh-CN"/>
        </w:rPr>
        <w:t>结转</w:t>
      </w:r>
      <w:r>
        <w:rPr>
          <w:rFonts w:hint="eastAsia"/>
          <w:highlight w:val="none"/>
        </w:rPr>
        <w:t>2021年度人员经费、2022年度</w:t>
      </w:r>
      <w:r>
        <w:rPr>
          <w:rFonts w:hint="eastAsia"/>
          <w:highlight w:val="none"/>
          <w:lang w:eastAsia="zh-CN"/>
        </w:rPr>
        <w:t>因政策</w:t>
      </w:r>
      <w:r>
        <w:rPr>
          <w:rFonts w:hint="eastAsia"/>
          <w:highlight w:val="none"/>
        </w:rPr>
        <w:t>调资</w:t>
      </w:r>
      <w:r>
        <w:rPr>
          <w:rFonts w:hint="eastAsia"/>
          <w:highlight w:val="none"/>
          <w:lang w:eastAsia="zh-CN"/>
        </w:rPr>
        <w:t>增加人员</w:t>
      </w:r>
      <w:r>
        <w:rPr>
          <w:rFonts w:hint="eastAsia"/>
          <w:highlight w:val="none"/>
        </w:rPr>
        <w:t>经费、2022年度新招录人员经费、同时压缩经费相比2021年度减少。</w:t>
      </w:r>
    </w:p>
    <w:p>
      <w:pPr>
        <w:jc w:val="center"/>
        <w:rPr>
          <w:rFonts w:ascii="仿宋_GB2312" w:hAnsi="仿宋_GB2312" w:cs="仿宋_GB2312"/>
          <w:sz w:val="30"/>
          <w:szCs w:val="30"/>
          <w:highlight w:val="none"/>
        </w:rPr>
      </w:pPr>
      <w:r>
        <w:rPr>
          <w:rFonts w:hint="eastAsia" w:ascii="仿宋_GB2312" w:hAnsi="仿宋_GB2312" w:cs="仿宋_GB2312"/>
          <w:sz w:val="30"/>
          <w:szCs w:val="30"/>
          <w:highlight w:val="none"/>
        </w:rPr>
        <w:t>图4：财政拨款收、支决算总计变动情况</w:t>
      </w:r>
    </w:p>
    <w:p>
      <w:pPr>
        <w:ind w:firstLine="640" w:firstLineChars="200"/>
        <w:rPr>
          <w:highlight w:val="none"/>
        </w:rPr>
      </w:pPr>
      <w:r>
        <w:rPr>
          <w:rFonts w:ascii="Times New Roman" w:hAnsi="Times New Roman" w:eastAsia="仿宋_GB2312" w:cs="Times New Roman"/>
          <w:kern w:val="2"/>
          <w:sz w:val="32"/>
          <w:szCs w:val="22"/>
          <w:highlight w:val="none"/>
          <w:lang w:val="en-US" w:eastAsia="zh-CN" w:bidi="ar-SA"/>
        </w:rPr>
        <w:pict>
          <v:shape id="图表 12" o:spid="_x0000_s1040" type="#_x0000_t75" style="height:186pt;width:360pt;rotation:0f;" o:ole="f" fillcolor="#FFFFFF" filled="f" o:preferrelative="t" stroked="f" coordorigin="0,0" coordsize="21600,21600">
            <v:fill on="f" color2="#FFFFFF" focus="0%"/>
            <v:imagedata gain="65536f" blacklevel="0f" gamma="0" o:title="图片4财政拨款收、支决算总计划变动情况" r:id="rId19"/>
            <o:lock v:ext="edit" position="f" selection="f" grouping="f" rotation="f" cropping="f" text="f" aspectratio="t"/>
            <w10:wrap type="none"/>
            <w10:anchorlock/>
          </v:shape>
        </w:pict>
      </w:r>
    </w:p>
    <w:p>
      <w:pPr>
        <w:ind w:firstLine="640" w:firstLineChars="200"/>
        <w:rPr>
          <w:highlight w:val="none"/>
        </w:rPr>
      </w:pPr>
    </w:p>
    <w:p>
      <w:pPr>
        <w:pStyle w:val="21"/>
        <w:ind w:firstLine="628" w:firstLineChars="196"/>
        <w:jc w:val="left"/>
        <w:rPr>
          <w:rFonts w:ascii="华文楷体" w:hAnsi="华文楷体" w:eastAsia="华文楷体"/>
          <w:highlight w:val="none"/>
        </w:rPr>
      </w:pPr>
      <w:bookmarkStart w:id="18" w:name="_Toc143592646"/>
      <w:r>
        <w:rPr>
          <w:rFonts w:hint="eastAsia" w:ascii="华文楷体" w:hAnsi="华文楷体" w:eastAsia="华文楷体"/>
          <w:highlight w:val="none"/>
        </w:rPr>
        <w:t>五、一般公共预算财政拨款支出决算情况说明</w:t>
      </w:r>
      <w:bookmarkEnd w:id="18"/>
    </w:p>
    <w:p>
      <w:pPr>
        <w:adjustRightInd w:val="0"/>
        <w:snapToGrid w:val="0"/>
        <w:spacing w:line="360" w:lineRule="auto"/>
        <w:ind w:firstLine="643" w:firstLineChars="200"/>
        <w:rPr>
          <w:rFonts w:ascii="仿宋" w:hAnsi="仿宋" w:eastAsia="仿宋" w:cs="楷体_GB2312"/>
          <w:b/>
          <w:bCs/>
          <w:kern w:val="44"/>
          <w:szCs w:val="32"/>
          <w:highlight w:val="none"/>
        </w:rPr>
      </w:pPr>
      <w:r>
        <w:rPr>
          <w:rFonts w:hint="eastAsia" w:ascii="仿宋" w:hAnsi="仿宋" w:eastAsia="仿宋" w:cs="楷体_GB2312"/>
          <w:b/>
          <w:bCs/>
          <w:kern w:val="44"/>
          <w:szCs w:val="32"/>
          <w:highlight w:val="none"/>
        </w:rPr>
        <w:t>（一）一般公共预算财政拨款支出决算总体情况。</w:t>
      </w:r>
    </w:p>
    <w:p>
      <w:pPr>
        <w:snapToGrid w:val="0"/>
        <w:spacing w:line="560" w:lineRule="exact"/>
        <w:ind w:firstLine="640" w:firstLineChars="200"/>
        <w:rPr>
          <w:rFonts w:ascii="仿宋_GB2312"/>
          <w:bCs/>
          <w:color w:val="FF0000"/>
          <w:kern w:val="44"/>
          <w:szCs w:val="32"/>
          <w:highlight w:val="none"/>
        </w:rPr>
      </w:pPr>
      <w:r>
        <w:rPr>
          <w:rFonts w:hint="eastAsia" w:ascii="仿宋_GB2312"/>
          <w:bCs/>
          <w:kern w:val="44"/>
          <w:szCs w:val="32"/>
          <w:highlight w:val="none"/>
        </w:rPr>
        <w:t>2022</w:t>
      </w:r>
      <w:r>
        <w:rPr>
          <w:rFonts w:hint="eastAsia" w:ascii="仿宋_GB2312" w:hAnsi="仿宋_GB2312" w:cs="仿宋_GB2312"/>
          <w:bCs/>
          <w:kern w:val="44"/>
          <w:szCs w:val="32"/>
          <w:highlight w:val="none"/>
        </w:rPr>
        <w:t>年度一般公共预算财政拨</w:t>
      </w:r>
      <w:r>
        <w:rPr>
          <w:rFonts w:hint="eastAsia" w:ascii="仿宋_GB2312"/>
          <w:bCs/>
          <w:kern w:val="44"/>
          <w:szCs w:val="32"/>
          <w:highlight w:val="none"/>
        </w:rPr>
        <w:t>款支出5145.48万元，占本年支出合计的94.3%。与2021年度相比，</w:t>
      </w:r>
      <w:r>
        <w:rPr>
          <w:rFonts w:hint="eastAsia" w:ascii="仿宋_GB2312" w:hAnsi="仿宋_GB2312" w:cs="仿宋_GB2312"/>
          <w:bCs/>
          <w:kern w:val="44"/>
          <w:szCs w:val="32"/>
          <w:highlight w:val="none"/>
        </w:rPr>
        <w:t>一般公共预算</w:t>
      </w:r>
      <w:r>
        <w:rPr>
          <w:rFonts w:hint="eastAsia" w:ascii="仿宋_GB2312"/>
          <w:bCs/>
          <w:kern w:val="44"/>
          <w:szCs w:val="32"/>
          <w:highlight w:val="none"/>
        </w:rPr>
        <w:t>财政拨款支出增加1788.43万元，增长53.3%。</w:t>
      </w:r>
      <w:r>
        <w:rPr>
          <w:rFonts w:hint="eastAsia" w:ascii="仿宋_GB2312"/>
          <w:bCs/>
          <w:color w:val="auto"/>
          <w:kern w:val="44"/>
          <w:szCs w:val="32"/>
          <w:highlight w:val="none"/>
        </w:rPr>
        <w:t>主要原因是</w:t>
      </w:r>
      <w:r>
        <w:rPr>
          <w:rFonts w:hint="eastAsia" w:ascii="仿宋_GB2312"/>
          <w:bCs/>
          <w:color w:val="auto"/>
          <w:kern w:val="44"/>
          <w:szCs w:val="32"/>
          <w:highlight w:val="none"/>
          <w:lang w:eastAsia="zh-CN"/>
        </w:rPr>
        <w:t>结转</w:t>
      </w:r>
      <w:r>
        <w:rPr>
          <w:rFonts w:hint="eastAsia" w:ascii="仿宋_GB2312"/>
          <w:bCs/>
          <w:color w:val="auto"/>
          <w:kern w:val="44"/>
          <w:szCs w:val="32"/>
          <w:highlight w:val="none"/>
        </w:rPr>
        <w:t>2021年度人员经费、2022年度</w:t>
      </w:r>
      <w:r>
        <w:rPr>
          <w:rFonts w:hint="eastAsia" w:ascii="仿宋_GB2312"/>
          <w:bCs/>
          <w:color w:val="auto"/>
          <w:kern w:val="44"/>
          <w:szCs w:val="32"/>
          <w:highlight w:val="none"/>
          <w:lang w:eastAsia="zh-CN"/>
        </w:rPr>
        <w:t>因政策</w:t>
      </w:r>
      <w:r>
        <w:rPr>
          <w:rFonts w:hint="eastAsia" w:ascii="仿宋_GB2312"/>
          <w:bCs/>
          <w:color w:val="auto"/>
          <w:kern w:val="44"/>
          <w:szCs w:val="32"/>
          <w:highlight w:val="none"/>
        </w:rPr>
        <w:t>调资</w:t>
      </w:r>
      <w:r>
        <w:rPr>
          <w:rFonts w:hint="eastAsia" w:ascii="仿宋_GB2312"/>
          <w:bCs/>
          <w:color w:val="auto"/>
          <w:kern w:val="44"/>
          <w:szCs w:val="32"/>
          <w:highlight w:val="none"/>
          <w:lang w:eastAsia="zh-CN"/>
        </w:rPr>
        <w:t>增加人员</w:t>
      </w:r>
      <w:r>
        <w:rPr>
          <w:rFonts w:hint="eastAsia" w:ascii="仿宋_GB2312"/>
          <w:bCs/>
          <w:color w:val="auto"/>
          <w:kern w:val="44"/>
          <w:szCs w:val="32"/>
          <w:highlight w:val="none"/>
        </w:rPr>
        <w:t>经费、2022年度新招录人员经费、同时压缩经费相比2021年度减少。</w:t>
      </w:r>
    </w:p>
    <w:p>
      <w:pPr>
        <w:adjustRightInd w:val="0"/>
        <w:snapToGrid w:val="0"/>
        <w:spacing w:line="360" w:lineRule="auto"/>
        <w:ind w:firstLine="643" w:firstLineChars="200"/>
        <w:rPr>
          <w:rFonts w:ascii="仿宋" w:hAnsi="仿宋" w:eastAsia="仿宋" w:cs="楷体_GB2312"/>
          <w:b/>
          <w:bCs/>
          <w:kern w:val="44"/>
          <w:szCs w:val="32"/>
          <w:highlight w:val="none"/>
        </w:rPr>
      </w:pPr>
      <w:r>
        <w:rPr>
          <w:rFonts w:hint="eastAsia" w:ascii="仿宋" w:hAnsi="仿宋" w:eastAsia="仿宋" w:cs="楷体_GB2312"/>
          <w:b/>
          <w:bCs/>
          <w:kern w:val="44"/>
          <w:szCs w:val="32"/>
          <w:highlight w:val="none"/>
        </w:rPr>
        <w:t>（二）一般公共预算财政拨款支出决算结构情况。</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2022年度</w:t>
      </w:r>
      <w:r>
        <w:rPr>
          <w:rFonts w:hint="eastAsia" w:ascii="仿宋_GB2312" w:hAnsi="仿宋_GB2312" w:cs="仿宋_GB2312"/>
          <w:bCs/>
          <w:kern w:val="44"/>
          <w:szCs w:val="32"/>
          <w:highlight w:val="none"/>
        </w:rPr>
        <w:t>一般公共预算</w:t>
      </w:r>
      <w:r>
        <w:rPr>
          <w:rFonts w:hint="eastAsia" w:ascii="仿宋_GB2312"/>
          <w:bCs/>
          <w:kern w:val="44"/>
          <w:szCs w:val="32"/>
          <w:highlight w:val="none"/>
        </w:rPr>
        <w:t>财政拨款支出5145.48万元，主要用于以下方面：</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1.公共安全（类）支出4965.48万元，占96.5</w:t>
      </w:r>
      <w:r>
        <w:rPr>
          <w:rFonts w:ascii="仿宋_GB2312"/>
          <w:bCs/>
          <w:kern w:val="44"/>
          <w:szCs w:val="32"/>
          <w:highlight w:val="none"/>
        </w:rPr>
        <w:t>%</w:t>
      </w:r>
      <w:r>
        <w:rPr>
          <w:rFonts w:hint="eastAsia" w:ascii="仿宋_GB2312"/>
          <w:bCs/>
          <w:kern w:val="44"/>
          <w:szCs w:val="32"/>
          <w:highlight w:val="none"/>
        </w:rPr>
        <w:t>。主要是用于行政运行、一般行政管理事务、案件审判。</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2.社会保障和就业（类）支出180万元，占3.5</w:t>
      </w:r>
      <w:r>
        <w:rPr>
          <w:rFonts w:ascii="仿宋_GB2312"/>
          <w:bCs/>
          <w:kern w:val="44"/>
          <w:szCs w:val="32"/>
          <w:highlight w:val="none"/>
        </w:rPr>
        <w:t>%</w:t>
      </w:r>
      <w:r>
        <w:rPr>
          <w:rFonts w:hint="eastAsia" w:ascii="仿宋_GB2312"/>
          <w:bCs/>
          <w:kern w:val="44"/>
          <w:szCs w:val="32"/>
          <w:highlight w:val="none"/>
        </w:rPr>
        <w:t>。主要是用于机关事业单位基本养老保险缴费支出。</w:t>
      </w:r>
    </w:p>
    <w:p>
      <w:pPr>
        <w:adjustRightInd w:val="0"/>
        <w:snapToGrid w:val="0"/>
        <w:spacing w:line="360" w:lineRule="auto"/>
        <w:ind w:firstLine="643" w:firstLineChars="200"/>
        <w:rPr>
          <w:rFonts w:ascii="仿宋" w:hAnsi="仿宋" w:eastAsia="仿宋" w:cs="楷体_GB2312"/>
          <w:b/>
          <w:bCs/>
          <w:kern w:val="44"/>
          <w:szCs w:val="32"/>
          <w:highlight w:val="none"/>
        </w:rPr>
      </w:pPr>
      <w:r>
        <w:rPr>
          <w:rFonts w:hint="eastAsia" w:ascii="仿宋" w:hAnsi="仿宋" w:eastAsia="仿宋" w:cs="楷体_GB2312"/>
          <w:b/>
          <w:bCs/>
          <w:kern w:val="44"/>
          <w:szCs w:val="32"/>
          <w:highlight w:val="none"/>
        </w:rPr>
        <w:t>（三）一般公共预算财政拨款支出决算具体情况。</w:t>
      </w:r>
    </w:p>
    <w:p>
      <w:pPr>
        <w:adjustRightInd w:val="0"/>
        <w:snapToGrid w:val="0"/>
        <w:spacing w:line="360" w:lineRule="auto"/>
        <w:ind w:firstLine="640" w:firstLineChars="200"/>
        <w:rPr>
          <w:rFonts w:ascii="仿宋_GB2312" w:hAnsi="仿宋_GB2312" w:cs="仿宋_GB2312"/>
          <w:b/>
          <w:kern w:val="44"/>
          <w:szCs w:val="32"/>
          <w:highlight w:val="none"/>
        </w:rPr>
      </w:pPr>
      <w:r>
        <w:rPr>
          <w:rFonts w:hint="eastAsia" w:ascii="仿宋_GB2312" w:hAnsi="仿宋_GB2312" w:cs="仿宋_GB2312"/>
          <w:bCs/>
          <w:kern w:val="44"/>
          <w:szCs w:val="32"/>
          <w:highlight w:val="none"/>
        </w:rPr>
        <w:t>2022年度一般公共预算财政拨款支出年初预算为</w:t>
      </w:r>
      <w:r>
        <w:rPr>
          <w:rFonts w:hint="eastAsia" w:ascii="仿宋_GB2312" w:hAnsi="仿宋_GB2312" w:cs="仿宋_GB2312"/>
          <w:bCs/>
          <w:kern w:val="44"/>
          <w:szCs w:val="32"/>
          <w:highlight w:val="none"/>
          <w:u w:val="single"/>
        </w:rPr>
        <w:t xml:space="preserve">    </w:t>
      </w:r>
      <w:r>
        <w:rPr>
          <w:rFonts w:hint="eastAsia" w:ascii="仿宋_GB2312" w:hAnsi="仿宋_GB2312" w:cs="仿宋_GB2312"/>
          <w:bCs/>
          <w:kern w:val="44"/>
          <w:szCs w:val="32"/>
          <w:highlight w:val="none"/>
        </w:rPr>
        <w:t>4173.54万元</w:t>
      </w:r>
      <w:r>
        <w:rPr>
          <w:rFonts w:hint="eastAsia" w:ascii="仿宋_GB2312" w:hAnsi="仿宋_GB2312" w:cs="仿宋_GB2312"/>
          <w:szCs w:val="32"/>
          <w:highlight w:val="none"/>
        </w:rPr>
        <w:t>，</w:t>
      </w:r>
      <w:r>
        <w:rPr>
          <w:rFonts w:hint="eastAsia" w:ascii="仿宋_GB2312" w:hAnsi="仿宋_GB2312" w:cs="仿宋_GB2312"/>
          <w:bCs/>
          <w:kern w:val="44"/>
          <w:szCs w:val="32"/>
          <w:highlight w:val="none"/>
        </w:rPr>
        <w:t>支出决算为5145.48万元，完成年初预算的123.3%。其中：</w:t>
      </w:r>
    </w:p>
    <w:p>
      <w:pPr>
        <w:adjustRightInd w:val="0"/>
        <w:snapToGrid w:val="0"/>
        <w:spacing w:line="360" w:lineRule="auto"/>
        <w:ind w:firstLine="640" w:firstLineChars="200"/>
        <w:rPr>
          <w:rFonts w:ascii="仿宋_GB2312" w:hAnsi="仿宋_GB2312" w:cs="仿宋_GB2312"/>
          <w:bCs/>
          <w:kern w:val="44"/>
          <w:szCs w:val="32"/>
          <w:highlight w:val="none"/>
        </w:rPr>
      </w:pPr>
      <w:r>
        <w:rPr>
          <w:rFonts w:hint="eastAsia" w:ascii="仿宋_GB2312" w:hAnsi="仿宋_GB2312" w:cs="仿宋_GB2312"/>
          <w:bCs/>
          <w:kern w:val="44"/>
          <w:szCs w:val="32"/>
          <w:highlight w:val="none"/>
        </w:rPr>
        <w:t xml:space="preserve"> 1.</w:t>
      </w:r>
      <w:r>
        <w:rPr>
          <w:rFonts w:hint="eastAsia" w:ascii="仿宋_GB2312"/>
          <w:szCs w:val="32"/>
          <w:highlight w:val="none"/>
        </w:rPr>
        <w:t>公共安全支出(类)法院(款)行政运行(项)</w:t>
      </w:r>
      <w:r>
        <w:rPr>
          <w:rFonts w:hint="eastAsia" w:ascii="仿宋_GB2312" w:hAnsi="仿宋_GB2312" w:cs="仿宋_GB2312"/>
          <w:bCs/>
          <w:kern w:val="44"/>
          <w:szCs w:val="32"/>
          <w:highlight w:val="none"/>
        </w:rPr>
        <w:t>。年初预算为3184.3万元，支出决算为4156.08万元，完成年初预算的130.5%，支出决算数大于年初预算数的主要原因：一是</w:t>
      </w:r>
      <w:r>
        <w:rPr>
          <w:rFonts w:hint="eastAsia" w:ascii="仿宋_GB2312" w:hAnsi="仿宋" w:cs="仿宋"/>
          <w:szCs w:val="32"/>
          <w:highlight w:val="none"/>
        </w:rPr>
        <w:t>省财政厅年中追加下达2020年度绩效考核奖金经费</w:t>
      </w:r>
      <w:r>
        <w:rPr>
          <w:rFonts w:hint="eastAsia" w:ascii="仿宋_GB2312" w:hAnsi="仿宋_GB2312" w:cs="仿宋_GB2312"/>
          <w:bCs/>
          <w:kern w:val="44"/>
          <w:szCs w:val="32"/>
          <w:highlight w:val="none"/>
        </w:rPr>
        <w:t>；二是</w:t>
      </w:r>
      <w:r>
        <w:rPr>
          <w:rFonts w:hint="eastAsia" w:ascii="仿宋_GB2312" w:hAnsi="仿宋" w:cs="仿宋"/>
          <w:szCs w:val="32"/>
          <w:highlight w:val="none"/>
        </w:rPr>
        <w:t>省财政厅年中追加下达2022年度调资经费；三是</w:t>
      </w:r>
      <w:r>
        <w:rPr>
          <w:rFonts w:hint="eastAsia" w:ascii="仿宋_GB2312" w:hAnsi="仿宋" w:cs="仿宋"/>
          <w:bCs/>
          <w:szCs w:val="32"/>
          <w:highlight w:val="none"/>
        </w:rPr>
        <w:t>省财政厅经审核2021年度部分人员经费按原用途结转下达</w:t>
      </w:r>
      <w:r>
        <w:rPr>
          <w:rFonts w:hint="eastAsia" w:ascii="仿宋_GB2312" w:hAnsi="仿宋" w:cs="仿宋"/>
          <w:bCs/>
          <w:szCs w:val="32"/>
          <w:highlight w:val="none"/>
          <w:lang w:eastAsia="zh-CN"/>
        </w:rPr>
        <w:t>。</w:t>
      </w:r>
    </w:p>
    <w:p>
      <w:pPr>
        <w:adjustRightInd w:val="0"/>
        <w:snapToGrid w:val="0"/>
        <w:spacing w:line="360" w:lineRule="auto"/>
        <w:ind w:firstLine="640" w:firstLineChars="200"/>
        <w:rPr>
          <w:rFonts w:ascii="仿宋_GB2312" w:hAnsi="仿宋_GB2312" w:cs="仿宋_GB2312"/>
          <w:bCs/>
          <w:kern w:val="44"/>
          <w:szCs w:val="32"/>
          <w:highlight w:val="none"/>
        </w:rPr>
      </w:pPr>
      <w:r>
        <w:rPr>
          <w:rFonts w:hint="eastAsia" w:hAnsi="仿宋_GB2312"/>
          <w:bCs/>
          <w:kern w:val="44"/>
          <w:szCs w:val="32"/>
          <w:highlight w:val="none"/>
        </w:rPr>
        <w:t>2.</w:t>
      </w:r>
      <w:r>
        <w:rPr>
          <w:rFonts w:hint="eastAsia" w:ascii="仿宋_GB2312"/>
          <w:szCs w:val="32"/>
          <w:highlight w:val="none"/>
        </w:rPr>
        <w:t>公共安全支出(类)法院(款)一般行政管理事务(项)</w:t>
      </w:r>
      <w:r>
        <w:rPr>
          <w:rFonts w:hint="eastAsia" w:ascii="仿宋_GB2312" w:hAnsi="仿宋_GB2312" w:cs="仿宋_GB2312"/>
          <w:bCs/>
          <w:kern w:val="44"/>
          <w:szCs w:val="32"/>
          <w:highlight w:val="none"/>
        </w:rPr>
        <w:t>。年初预算为180.24万元，支出决算为180.24万元，完成年初预算的100%</w:t>
      </w:r>
      <w:r>
        <w:rPr>
          <w:rFonts w:hint="eastAsia" w:ascii="仿宋_GB2312" w:hAnsi="仿宋" w:cs="仿宋"/>
          <w:szCs w:val="32"/>
          <w:highlight w:val="none"/>
        </w:rPr>
        <w:t>。</w:t>
      </w:r>
    </w:p>
    <w:p>
      <w:pPr>
        <w:adjustRightInd w:val="0"/>
        <w:snapToGrid w:val="0"/>
        <w:spacing w:line="360" w:lineRule="auto"/>
        <w:ind w:firstLine="640" w:firstLineChars="200"/>
        <w:rPr>
          <w:rFonts w:ascii="仿宋_GB2312" w:hAnsi="仿宋_GB2312" w:cs="仿宋_GB2312"/>
          <w:bCs/>
          <w:kern w:val="44"/>
          <w:szCs w:val="32"/>
          <w:highlight w:val="none"/>
        </w:rPr>
      </w:pPr>
      <w:r>
        <w:rPr>
          <w:rFonts w:hint="eastAsia" w:ascii="仿宋" w:hAnsi="仿宋" w:eastAsia="仿宋" w:cs="黑体"/>
          <w:szCs w:val="32"/>
          <w:highlight w:val="none"/>
        </w:rPr>
        <w:t>3.</w:t>
      </w:r>
      <w:r>
        <w:rPr>
          <w:rFonts w:hint="eastAsia" w:ascii="仿宋_GB2312"/>
          <w:szCs w:val="32"/>
          <w:highlight w:val="none"/>
        </w:rPr>
        <w:t>公共安全支出(类)法院(款)案件审判(项)</w:t>
      </w:r>
      <w:r>
        <w:rPr>
          <w:rFonts w:hint="eastAsia" w:ascii="仿宋_GB2312" w:hAnsi="仿宋_GB2312" w:cs="仿宋_GB2312"/>
          <w:bCs/>
          <w:kern w:val="44"/>
          <w:szCs w:val="32"/>
          <w:highlight w:val="none"/>
        </w:rPr>
        <w:t>。年初预算为629万元，支出决算为629.16万元，完成年初预算的100%。</w:t>
      </w:r>
    </w:p>
    <w:p>
      <w:pPr>
        <w:adjustRightInd w:val="0"/>
        <w:snapToGrid w:val="0"/>
        <w:spacing w:line="360" w:lineRule="auto"/>
        <w:ind w:firstLine="640" w:firstLineChars="200"/>
        <w:rPr>
          <w:rFonts w:ascii="仿宋_GB2312" w:hAnsi="仿宋_GB2312" w:cs="仿宋_GB2312"/>
          <w:bCs/>
          <w:kern w:val="44"/>
          <w:szCs w:val="32"/>
          <w:highlight w:val="none"/>
        </w:rPr>
      </w:pPr>
      <w:r>
        <w:rPr>
          <w:rFonts w:hint="eastAsia" w:ascii="仿宋" w:hAnsi="仿宋" w:eastAsia="仿宋" w:cs="黑体"/>
          <w:szCs w:val="32"/>
          <w:highlight w:val="none"/>
        </w:rPr>
        <w:t>4.</w:t>
      </w:r>
      <w:r>
        <w:rPr>
          <w:rFonts w:hint="eastAsia" w:ascii="仿宋_GB2312"/>
          <w:szCs w:val="32"/>
          <w:highlight w:val="none"/>
        </w:rPr>
        <w:t>社会保障和就业支出(类)行政事业单位养老支出(款)机关事业单位基本养老保险缴费支出(项)</w:t>
      </w:r>
      <w:r>
        <w:rPr>
          <w:rFonts w:hint="eastAsia" w:ascii="仿宋_GB2312" w:hAnsi="仿宋_GB2312" w:cs="仿宋_GB2312"/>
          <w:bCs/>
          <w:kern w:val="44"/>
          <w:szCs w:val="32"/>
          <w:highlight w:val="none"/>
        </w:rPr>
        <w:t>。年初预算为    180万元，支出决算为180万元，完成年初预算的100%。</w:t>
      </w:r>
    </w:p>
    <w:p>
      <w:pPr>
        <w:pStyle w:val="21"/>
        <w:spacing w:before="0" w:after="0"/>
        <w:ind w:firstLine="628" w:firstLineChars="196"/>
        <w:jc w:val="left"/>
        <w:rPr>
          <w:rFonts w:ascii="华文楷体" w:hAnsi="华文楷体" w:eastAsia="华文楷体"/>
          <w:highlight w:val="none"/>
        </w:rPr>
      </w:pPr>
      <w:bookmarkStart w:id="19" w:name="_Toc143592647"/>
      <w:r>
        <w:rPr>
          <w:rFonts w:hint="eastAsia" w:ascii="华文楷体" w:hAnsi="华文楷体" w:eastAsia="华文楷体"/>
          <w:highlight w:val="none"/>
        </w:rPr>
        <w:t>六、一般公共预算财政拨款基本支出决算情况说明</w:t>
      </w:r>
      <w:bookmarkEnd w:id="19"/>
    </w:p>
    <w:p>
      <w:pPr>
        <w:ind w:firstLine="640" w:firstLineChars="200"/>
        <w:rPr>
          <w:rFonts w:ascii="仿宋_GB2312" w:hAnsi="仿宋_GB2312" w:cs="仿宋_GB2312"/>
          <w:highlight w:val="none"/>
        </w:rPr>
      </w:pPr>
      <w:r>
        <w:rPr>
          <w:rFonts w:hint="eastAsia" w:ascii="仿宋_GB2312" w:hAnsi="仿宋_GB2312" w:cs="仿宋_GB2312"/>
          <w:highlight w:val="none"/>
        </w:rPr>
        <w:t>2022年度一般公共预算财政拨款基本支出4336.08万元，其中：</w:t>
      </w:r>
    </w:p>
    <w:p>
      <w:pPr>
        <w:ind w:firstLine="640" w:firstLineChars="200"/>
        <w:rPr>
          <w:rFonts w:ascii="仿宋_GB2312" w:hAnsi="仿宋_GB2312" w:cs="仿宋_GB2312"/>
          <w:highlight w:val="none"/>
        </w:rPr>
      </w:pPr>
      <w:r>
        <w:rPr>
          <w:rFonts w:hint="eastAsia" w:ascii="仿宋_GB2312" w:hAnsi="仿宋_GB2312" w:cs="仿宋_GB2312"/>
          <w:highlight w:val="none"/>
        </w:rPr>
        <w:t>人员经费3893.78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其他对个人和家庭的补助。</w:t>
      </w:r>
    </w:p>
    <w:p>
      <w:pPr>
        <w:ind w:firstLine="640" w:firstLineChars="200"/>
        <w:rPr>
          <w:rFonts w:ascii="仿宋_GB2312" w:hAnsi="仿宋_GB2312" w:cs="仿宋_GB2312"/>
          <w:highlight w:val="none"/>
        </w:rPr>
      </w:pPr>
      <w:r>
        <w:rPr>
          <w:rFonts w:hint="eastAsia" w:ascii="仿宋_GB2312" w:hAnsi="仿宋_GB2312" w:cs="仿宋_GB2312"/>
          <w:highlight w:val="none"/>
        </w:rPr>
        <w:t>公用经费442.3万元，主要包括：办公费、印刷费、咨询费、手续费、水费、电费、邮电费、取暖费、物业管理费、差旅费、维修(护)费、租赁费、会议费、培训费、公务接待费、专用材料费、被装购置费、劳务费、委托业务费、工会经费、福利费、公务用车运行维护费、其他交通费用、税金及附加费用、其他商品和服务支出、办公设备购置、专用设备购置、信息网络及软件购置更新、公务用车购置、其他交通工具购置、其他资本性支出。</w:t>
      </w:r>
    </w:p>
    <w:p>
      <w:pPr>
        <w:pStyle w:val="21"/>
        <w:spacing w:before="0" w:after="0"/>
        <w:ind w:firstLine="628" w:firstLineChars="196"/>
        <w:jc w:val="left"/>
        <w:rPr>
          <w:rFonts w:ascii="华文楷体" w:hAnsi="华文楷体" w:eastAsia="华文楷体"/>
          <w:highlight w:val="none"/>
        </w:rPr>
      </w:pPr>
      <w:bookmarkStart w:id="20" w:name="_Toc143592649"/>
      <w:r>
        <w:rPr>
          <w:rFonts w:hint="eastAsia" w:ascii="华文楷体" w:hAnsi="华文楷体" w:eastAsia="华文楷体"/>
          <w:highlight w:val="none"/>
        </w:rPr>
        <w:t>七、政府性基金预算财政拨款收入支出决算情况说明</w:t>
      </w:r>
      <w:bookmarkEnd w:id="20"/>
      <w:r>
        <w:rPr>
          <w:rFonts w:hint="eastAsia" w:ascii="华文楷体" w:hAnsi="华文楷体" w:eastAsia="华文楷体"/>
          <w:highlight w:val="none"/>
        </w:rPr>
        <w:t xml:space="preserve"> </w:t>
      </w:r>
    </w:p>
    <w:p>
      <w:pPr>
        <w:ind w:firstLine="640" w:firstLineChars="200"/>
        <w:rPr>
          <w:rFonts w:ascii="仿宋" w:hAnsi="仿宋" w:eastAsia="仿宋" w:cs="黑体"/>
          <w:szCs w:val="32"/>
          <w:highlight w:val="none"/>
        </w:rPr>
      </w:pPr>
      <w:r>
        <w:rPr>
          <w:rFonts w:hint="eastAsia" w:ascii="仿宋" w:hAnsi="仿宋" w:eastAsia="仿宋" w:cs="黑体"/>
          <w:highlight w:val="none"/>
        </w:rPr>
        <w:t>本</w:t>
      </w:r>
      <w:r>
        <w:rPr>
          <w:rFonts w:hint="eastAsia" w:ascii="仿宋" w:hAnsi="仿宋" w:eastAsia="仿宋" w:cs="黑体"/>
          <w:highlight w:val="none"/>
          <w:lang w:eastAsia="zh-CN"/>
        </w:rPr>
        <w:t>单位</w:t>
      </w:r>
      <w:r>
        <w:rPr>
          <w:rFonts w:hint="eastAsia" w:ascii="仿宋" w:hAnsi="仿宋" w:eastAsia="仿宋" w:cs="仿宋_GB2312"/>
          <w:bCs/>
          <w:szCs w:val="32"/>
          <w:highlight w:val="none"/>
        </w:rPr>
        <w:t>当年无政府性基金预算财政拨款收入支出。</w:t>
      </w:r>
    </w:p>
    <w:p>
      <w:pPr>
        <w:pStyle w:val="21"/>
        <w:spacing w:before="0" w:after="0"/>
        <w:ind w:firstLine="628" w:firstLineChars="196"/>
        <w:jc w:val="left"/>
        <w:rPr>
          <w:rFonts w:ascii="华文楷体" w:hAnsi="华文楷体" w:eastAsia="华文楷体"/>
          <w:highlight w:val="none"/>
        </w:rPr>
      </w:pPr>
      <w:bookmarkStart w:id="21" w:name="_Toc143592650"/>
      <w:r>
        <w:rPr>
          <w:rFonts w:hint="eastAsia" w:ascii="华文楷体" w:hAnsi="华文楷体" w:eastAsia="华文楷体"/>
          <w:highlight w:val="none"/>
        </w:rPr>
        <w:t>八、国有资本经营预算财政拨款支出决算情况说明</w:t>
      </w:r>
      <w:bookmarkEnd w:id="21"/>
    </w:p>
    <w:p>
      <w:pPr>
        <w:ind w:firstLine="640" w:firstLineChars="200"/>
        <w:rPr>
          <w:rFonts w:ascii="仿宋" w:hAnsi="仿宋" w:eastAsia="仿宋" w:cs="黑体"/>
          <w:szCs w:val="32"/>
          <w:highlight w:val="none"/>
        </w:rPr>
      </w:pPr>
      <w:r>
        <w:rPr>
          <w:rFonts w:hint="eastAsia" w:ascii="仿宋" w:hAnsi="仿宋" w:eastAsia="仿宋" w:cs="黑体"/>
          <w:highlight w:val="none"/>
        </w:rPr>
        <w:t>本</w:t>
      </w:r>
      <w:r>
        <w:rPr>
          <w:rFonts w:hint="eastAsia" w:ascii="仿宋" w:hAnsi="仿宋" w:eastAsia="仿宋" w:cs="黑体"/>
          <w:highlight w:val="none"/>
          <w:lang w:eastAsia="zh-CN"/>
        </w:rPr>
        <w:t>单位</w:t>
      </w:r>
      <w:r>
        <w:rPr>
          <w:rFonts w:hint="eastAsia" w:ascii="仿宋" w:hAnsi="仿宋" w:eastAsia="仿宋" w:cs="黑体"/>
          <w:highlight w:val="none"/>
        </w:rPr>
        <w:t>无</w:t>
      </w:r>
      <w:r>
        <w:rPr>
          <w:rFonts w:hint="eastAsia" w:ascii="仿宋" w:hAnsi="仿宋" w:eastAsia="仿宋" w:cs="仿宋_GB2312"/>
          <w:bCs/>
          <w:szCs w:val="32"/>
          <w:highlight w:val="none"/>
        </w:rPr>
        <w:t>当年无</w:t>
      </w:r>
      <w:r>
        <w:rPr>
          <w:rFonts w:hint="eastAsia" w:ascii="仿宋" w:hAnsi="仿宋" w:eastAsia="仿宋" w:cs="黑体"/>
          <w:highlight w:val="none"/>
        </w:rPr>
        <w:t>国有资本经营预算财政拨款</w:t>
      </w:r>
      <w:r>
        <w:rPr>
          <w:rFonts w:hint="eastAsia" w:ascii="仿宋" w:hAnsi="仿宋" w:eastAsia="仿宋" w:cs="仿宋_GB2312"/>
          <w:bCs/>
          <w:szCs w:val="32"/>
          <w:highlight w:val="none"/>
        </w:rPr>
        <w:t>支出。</w:t>
      </w:r>
    </w:p>
    <w:p>
      <w:pPr>
        <w:pStyle w:val="21"/>
        <w:spacing w:before="0" w:after="0"/>
        <w:ind w:firstLine="628" w:firstLineChars="196"/>
        <w:jc w:val="left"/>
        <w:rPr>
          <w:rFonts w:ascii="华文楷体" w:hAnsi="华文楷体" w:eastAsia="华文楷体"/>
          <w:highlight w:val="none"/>
        </w:rPr>
      </w:pPr>
      <w:bookmarkStart w:id="22" w:name="_Toc143592648"/>
      <w:r>
        <w:rPr>
          <w:rFonts w:hint="eastAsia" w:ascii="华文楷体" w:hAnsi="华文楷体" w:eastAsia="华文楷体"/>
          <w:highlight w:val="none"/>
        </w:rPr>
        <w:t>九、财政拨款“三公”经费支出决算情况说明</w:t>
      </w:r>
      <w:bookmarkEnd w:id="22"/>
      <w:r>
        <w:rPr>
          <w:rFonts w:hint="eastAsia" w:ascii="华文楷体" w:hAnsi="华文楷体" w:eastAsia="华文楷体"/>
          <w:highlight w:val="none"/>
        </w:rPr>
        <w:t xml:space="preserve"> </w:t>
      </w:r>
    </w:p>
    <w:p>
      <w:pPr>
        <w:ind w:left="640" w:leftChars="200"/>
        <w:rPr>
          <w:rFonts w:ascii="仿宋" w:hAnsi="仿宋" w:eastAsia="仿宋" w:cs="楷体_GB2312"/>
          <w:b/>
          <w:color w:val="auto"/>
          <w:highlight w:val="none"/>
        </w:rPr>
      </w:pPr>
      <w:r>
        <w:rPr>
          <w:rFonts w:hint="eastAsia" w:ascii="仿宋" w:hAnsi="仿宋" w:eastAsia="仿宋" w:cs="楷体_GB2312"/>
          <w:b/>
          <w:color w:val="auto"/>
          <w:highlight w:val="none"/>
        </w:rPr>
        <w:t>（一）“三公”经费财政拨款支出决算总体情况说明。</w:t>
      </w:r>
    </w:p>
    <w:p>
      <w:pPr>
        <w:ind w:firstLine="640" w:firstLineChars="200"/>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rPr>
        <w:t>2022年度“三公”经费财政拨款支出预算为55万元，</w:t>
      </w:r>
      <w:r>
        <w:rPr>
          <w:rFonts w:hint="eastAsia" w:ascii="仿宋_GB2312" w:hAnsi="仿宋_GB2312" w:cs="仿宋_GB2312"/>
          <w:color w:val="auto"/>
          <w:highlight w:val="none"/>
          <w:lang w:eastAsia="zh-CN"/>
        </w:rPr>
        <w:t>支出决算为</w:t>
      </w:r>
      <w:r>
        <w:rPr>
          <w:rFonts w:hint="eastAsia" w:ascii="仿宋_GB2312" w:hAnsi="仿宋_GB2312" w:cs="仿宋_GB2312"/>
          <w:color w:val="auto"/>
          <w:highlight w:val="none"/>
          <w:lang w:val="en-US" w:eastAsia="zh-CN"/>
        </w:rPr>
        <w:t>55万元，完成预算的100%。较上年财政拨款支出差异55万元，差异较大的原因是上年度“三公”经费支出为单位实拨资金。</w:t>
      </w:r>
    </w:p>
    <w:p>
      <w:pPr>
        <w:ind w:firstLine="640" w:firstLineChars="200"/>
        <w:rPr>
          <w:rFonts w:ascii="仿宋_GB2312" w:hAnsi="仿宋_GB2312" w:cs="仿宋_GB2312"/>
          <w:color w:val="auto"/>
          <w:highlight w:val="none"/>
        </w:rPr>
      </w:pPr>
      <w:r>
        <w:rPr>
          <w:rFonts w:hint="eastAsia" w:ascii="仿宋_GB2312" w:hAnsi="仿宋_GB2312" w:cs="仿宋_GB2312"/>
          <w:color w:val="auto"/>
          <w:highlight w:val="none"/>
          <w:lang w:val="en-US" w:eastAsia="zh-CN"/>
        </w:rPr>
        <w:t>2022年度“三公”经费单位资金支出预算为15万元，支出决算为1.41万元。完成预算的9.4%。较上年单位资金支出80.33万元相比减少78.92万元。决算数小于预算数的主要原因是厉行节约。单位资金支出决算数较上年减少的主要原因是当年未购置公务用车及“三公”支出口径与上年不一致。</w:t>
      </w:r>
    </w:p>
    <w:p>
      <w:pPr>
        <w:ind w:left="640" w:leftChars="200"/>
        <w:rPr>
          <w:rFonts w:ascii="仿宋" w:hAnsi="仿宋" w:eastAsia="仿宋" w:cs="楷体_GB2312"/>
          <w:b/>
          <w:color w:val="auto"/>
          <w:highlight w:val="none"/>
        </w:rPr>
      </w:pPr>
      <w:r>
        <w:rPr>
          <w:rFonts w:hint="eastAsia" w:ascii="仿宋" w:hAnsi="仿宋" w:eastAsia="仿宋" w:cs="楷体_GB2312"/>
          <w:b/>
          <w:color w:val="auto"/>
          <w:highlight w:val="none"/>
        </w:rPr>
        <w:t>（二）“三公”经费财政拨款支出决算具体情况说明。</w:t>
      </w:r>
    </w:p>
    <w:p>
      <w:pPr>
        <w:widowControl w:val="0"/>
        <w:numPr>
          <w:numId w:val="0"/>
        </w:numPr>
        <w:wordWrap/>
        <w:adjustRightInd/>
        <w:snapToGrid/>
        <w:spacing w:line="580" w:lineRule="exact"/>
        <w:ind w:left="0" w:leftChars="0" w:right="0" w:firstLine="640" w:firstLineChars="200"/>
        <w:jc w:val="both"/>
        <w:textAlignment w:val="auto"/>
        <w:outlineLvl w:val="9"/>
        <w:rPr>
          <w:rFonts w:hint="eastAsia" w:cs="宋体"/>
          <w:color w:val="auto"/>
          <w:szCs w:val="32"/>
          <w:highlight w:val="none"/>
          <w:lang w:val="en-US" w:eastAsia="zh-CN"/>
        </w:rPr>
      </w:pPr>
      <w:bookmarkStart w:id="23" w:name="_Toc143592651"/>
      <w:r>
        <w:rPr>
          <w:rFonts w:hint="eastAsia" w:cs="宋体"/>
          <w:color w:val="auto"/>
          <w:szCs w:val="32"/>
          <w:highlight w:val="none"/>
          <w:lang w:val="en-US" w:eastAsia="zh-CN"/>
        </w:rPr>
        <w:t>1.用公出国（境）费预算为0万元，支出决算为0万元，完成预算的100%。较上年决算数持平。</w:t>
      </w:r>
    </w:p>
    <w:p>
      <w:pPr>
        <w:widowControl w:val="0"/>
        <w:numPr>
          <w:numId w:val="0"/>
        </w:numPr>
        <w:wordWrap/>
        <w:adjustRightInd/>
        <w:snapToGrid/>
        <w:spacing w:line="580" w:lineRule="exact"/>
        <w:ind w:left="0" w:leftChars="0" w:right="0" w:firstLine="640" w:firstLineChars="200"/>
        <w:jc w:val="both"/>
        <w:textAlignment w:val="auto"/>
        <w:outlineLvl w:val="9"/>
        <w:rPr>
          <w:rFonts w:hint="eastAsia" w:cs="宋体"/>
          <w:color w:val="auto"/>
          <w:szCs w:val="32"/>
          <w:highlight w:val="none"/>
          <w:lang w:val="en-US" w:eastAsia="zh-CN"/>
        </w:rPr>
      </w:pPr>
      <w:r>
        <w:rPr>
          <w:rFonts w:hint="eastAsia" w:cs="宋体"/>
          <w:color w:val="auto"/>
          <w:szCs w:val="32"/>
          <w:highlight w:val="none"/>
          <w:lang w:val="en-US" w:eastAsia="zh-CN"/>
        </w:rPr>
        <w:t>全年支出涉及出国（境）团组0个，累计0人次。</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cs="宋体"/>
          <w:color w:val="auto"/>
          <w:szCs w:val="32"/>
          <w:highlight w:val="none"/>
          <w:lang w:val="en-US" w:eastAsia="zh-CN"/>
        </w:rPr>
      </w:pPr>
      <w:r>
        <w:rPr>
          <w:rFonts w:hint="eastAsia" w:cs="宋体"/>
          <w:color w:val="auto"/>
          <w:szCs w:val="32"/>
          <w:highlight w:val="none"/>
          <w:lang w:val="en-US" w:eastAsia="zh-CN"/>
        </w:rPr>
        <w:t>2.公务用车购置及运行费财政拨款支出预算为55万元，支出决算为55万元，完成预算的100%，较上年财政拨款支出差异55万元，差异较大的原因是上年度“三公”经费支出为单位实拨资金。</w:t>
      </w:r>
      <w:bookmarkStart w:id="32" w:name="_GoBack"/>
      <w:r>
        <w:rPr>
          <w:rFonts w:hint="eastAsia" w:cs="宋体"/>
          <w:color w:val="auto"/>
          <w:szCs w:val="32"/>
          <w:highlight w:val="none"/>
          <w:lang w:val="en-US" w:eastAsia="zh-CN"/>
        </w:rPr>
        <w:t>公务用车购置及运行费单位资金支出预算为10万元，支出决算为0万元，完成预算的0%，较上年单位资金支出78.89万元相比减少78.89万元，差异较大的原因是当年未购置公务用车及“三公”支出口径与上年不一致。其中：</w:t>
      </w:r>
    </w:p>
    <w:bookmarkEnd w:id="32"/>
    <w:p>
      <w:pPr>
        <w:widowControl w:val="0"/>
        <w:numPr>
          <w:numId w:val="0"/>
        </w:numPr>
        <w:wordWrap/>
        <w:adjustRightInd/>
        <w:snapToGrid/>
        <w:spacing w:line="240" w:lineRule="auto"/>
        <w:ind w:left="0" w:leftChars="0" w:right="0" w:firstLine="640" w:firstLineChars="200"/>
        <w:jc w:val="both"/>
        <w:textAlignment w:val="auto"/>
        <w:outlineLvl w:val="9"/>
        <w:rPr>
          <w:rFonts w:hint="eastAsia" w:cs="宋体"/>
          <w:color w:val="auto"/>
          <w:szCs w:val="32"/>
          <w:highlight w:val="none"/>
          <w:lang w:val="en-US" w:eastAsia="zh-CN"/>
        </w:rPr>
      </w:pPr>
      <w:r>
        <w:rPr>
          <w:rFonts w:hint="eastAsia" w:cs="宋体"/>
          <w:color w:val="auto"/>
          <w:szCs w:val="32"/>
          <w:highlight w:val="none"/>
          <w:lang w:val="en-US" w:eastAsia="zh-CN"/>
        </w:rPr>
        <w:t>（1）公务用车购置费财政拨款支出0万元，单位资金支出0万元，主要用于公务用车购置支出，本年度购置（更新）公务用车0辆。</w:t>
      </w:r>
    </w:p>
    <w:p>
      <w:pPr>
        <w:widowControl w:val="0"/>
        <w:numPr>
          <w:numId w:val="0"/>
        </w:numPr>
        <w:wordWrap/>
        <w:adjustRightInd/>
        <w:snapToGrid/>
        <w:spacing w:line="580" w:lineRule="exact"/>
        <w:ind w:left="0" w:leftChars="0" w:right="0" w:firstLine="640" w:firstLineChars="200"/>
        <w:jc w:val="both"/>
        <w:textAlignment w:val="auto"/>
        <w:outlineLvl w:val="9"/>
        <w:rPr>
          <w:rFonts w:hint="eastAsia" w:cs="宋体"/>
          <w:color w:val="auto"/>
          <w:szCs w:val="32"/>
          <w:highlight w:val="none"/>
          <w:lang w:val="en-US" w:eastAsia="zh-CN"/>
        </w:rPr>
      </w:pPr>
      <w:r>
        <w:rPr>
          <w:rFonts w:hint="eastAsia" w:cs="宋体"/>
          <w:color w:val="auto"/>
          <w:szCs w:val="32"/>
          <w:highlight w:val="none"/>
          <w:lang w:val="en-US" w:eastAsia="zh-CN"/>
        </w:rPr>
        <w:t>（2）公务用车运行费财政拨款支出55万元，单位资金支出0万元，主要用于公务用车燃料费、维修费、过路过桥费、保险费等支出。截止2022年12月31日，我院公务用车保有量19辆。</w:t>
      </w:r>
    </w:p>
    <w:p>
      <w:pPr>
        <w:spacing w:line="580" w:lineRule="exact"/>
        <w:ind w:firstLine="640" w:firstLineChars="200"/>
        <w:rPr>
          <w:rFonts w:hint="eastAsia" w:eastAsia="仿宋_GB2312" w:cs="宋体"/>
          <w:color w:val="auto"/>
          <w:szCs w:val="32"/>
          <w:highlight w:val="none"/>
          <w:lang w:val="en-US" w:eastAsia="zh-CN"/>
        </w:rPr>
      </w:pPr>
      <w:r>
        <w:rPr>
          <w:rFonts w:hint="eastAsia" w:cs="宋体"/>
          <w:color w:val="auto"/>
          <w:szCs w:val="32"/>
          <w:highlight w:val="none"/>
          <w:lang w:val="en-US" w:eastAsia="zh-CN"/>
        </w:rPr>
        <w:t>3.公务接待费财政拨款支出预算为0万元，支出决算为0万元，完成预算的100%；较上年决算持平。公务接待费单位资金支出预算数为5万元，支出决算为1.41万元，完成预算的28.2%，较上年单位资金支出1.43万元相比减少0.02万元，差异较少。其中：外宾接待支出0万元；国内公务接待支出1.41万元，接待对象主要是上级领导和外来单位人员，主要是开展考察调研、学习交流、检查指导等工作。2022年共接待国内来访团组21个，160人次。</w:t>
      </w:r>
    </w:p>
    <w:p>
      <w:pPr>
        <w:pStyle w:val="21"/>
        <w:spacing w:before="0" w:after="0"/>
        <w:ind w:firstLine="628" w:firstLineChars="196"/>
        <w:jc w:val="left"/>
        <w:rPr>
          <w:rFonts w:ascii="华文楷体" w:hAnsi="华文楷体" w:eastAsia="华文楷体"/>
          <w:highlight w:val="none"/>
        </w:rPr>
      </w:pPr>
      <w:r>
        <w:rPr>
          <w:rFonts w:hint="eastAsia" w:ascii="华文楷体" w:hAnsi="华文楷体" w:eastAsia="华文楷体"/>
          <w:highlight w:val="none"/>
        </w:rPr>
        <w:t>十、机关运行经费支出说明</w:t>
      </w:r>
      <w:bookmarkEnd w:id="23"/>
    </w:p>
    <w:p>
      <w:pPr>
        <w:pStyle w:val="26"/>
        <w:rPr>
          <w:rFonts w:ascii="仿宋_GB2312" w:eastAsia="仿宋_GB2312"/>
          <w:szCs w:val="32"/>
          <w:highlight w:val="none"/>
        </w:rPr>
      </w:pPr>
      <w:r>
        <w:rPr>
          <w:rFonts w:hint="eastAsia" w:ascii="仿宋_GB2312" w:eastAsia="仿宋_GB2312"/>
          <w:szCs w:val="32"/>
          <w:highlight w:val="none"/>
        </w:rPr>
        <w:t>本</w:t>
      </w:r>
      <w:r>
        <w:rPr>
          <w:rFonts w:hint="eastAsia" w:ascii="仿宋_GB2312" w:eastAsia="仿宋_GB2312"/>
          <w:szCs w:val="32"/>
          <w:highlight w:val="none"/>
          <w:lang w:eastAsia="zh-CN"/>
        </w:rPr>
        <w:t>单位</w:t>
      </w:r>
      <w:r>
        <w:rPr>
          <w:rFonts w:hint="eastAsia" w:ascii="仿宋_GB2312" w:eastAsia="仿宋_GB2312"/>
          <w:szCs w:val="32"/>
          <w:highlight w:val="none"/>
        </w:rPr>
        <w:t xml:space="preserve"> 2022年度机关运行经费支出442.3万元，与年初预算数相比，持平。</w:t>
      </w:r>
    </w:p>
    <w:p>
      <w:pPr>
        <w:pStyle w:val="21"/>
        <w:spacing w:before="0" w:after="0"/>
        <w:ind w:firstLine="628" w:firstLineChars="196"/>
        <w:jc w:val="left"/>
        <w:rPr>
          <w:rFonts w:ascii="华文楷体" w:hAnsi="华文楷体" w:eastAsia="华文楷体"/>
          <w:highlight w:val="none"/>
        </w:rPr>
      </w:pPr>
      <w:bookmarkStart w:id="24" w:name="_Toc143592652"/>
      <w:r>
        <w:rPr>
          <w:rFonts w:hint="eastAsia" w:ascii="华文楷体" w:hAnsi="华文楷体" w:eastAsia="华文楷体"/>
          <w:highlight w:val="none"/>
        </w:rPr>
        <w:t>十一、政府采购支出说明</w:t>
      </w:r>
      <w:bookmarkEnd w:id="24"/>
    </w:p>
    <w:p>
      <w:pPr>
        <w:ind w:firstLine="640" w:firstLineChars="200"/>
        <w:rPr>
          <w:rFonts w:ascii="仿宋_GB2312" w:hAnsi="仿宋_GB2312" w:cs="仿宋_GB2312"/>
          <w:szCs w:val="32"/>
          <w:highlight w:val="none"/>
        </w:rPr>
      </w:pPr>
      <w:r>
        <w:rPr>
          <w:rFonts w:hint="eastAsia" w:ascii="仿宋_GB2312" w:hAnsi="仿宋_GB2312" w:cs="仿宋_GB2312"/>
          <w:szCs w:val="32"/>
          <w:highlight w:val="none"/>
        </w:rPr>
        <w:t>本</w:t>
      </w:r>
      <w:r>
        <w:rPr>
          <w:rFonts w:hint="eastAsia" w:ascii="仿宋_GB2312" w:hAnsi="仿宋_GB2312" w:cs="仿宋_GB2312"/>
          <w:szCs w:val="32"/>
          <w:highlight w:val="none"/>
          <w:lang w:eastAsia="zh-CN"/>
        </w:rPr>
        <w:t>单位</w:t>
      </w:r>
      <w:r>
        <w:rPr>
          <w:rFonts w:hint="eastAsia" w:ascii="仿宋_GB2312" w:hAnsi="仿宋_GB2312" w:cs="仿宋_GB2312"/>
          <w:szCs w:val="32"/>
          <w:highlight w:val="none"/>
        </w:rPr>
        <w:t xml:space="preserve"> 2022年度政府采购支出总额47万元，其中：政府采购货物支出0万元、政府采购工程支出0万元、政府采购服务支出47万元。授予中小企业合同金额47万元，占政府采购支出总额的100%，其中：授予小微企业合同金额0万元，占授予中小企业合同金额的100%；货物采购授予中小企业合同金额占货物支出金额的0%，工程采购授予中小企业合同金额占工程支出金额的0%，服务采购授予中小企业合同金额占服务支出金额的100%。</w:t>
      </w:r>
    </w:p>
    <w:p>
      <w:pPr>
        <w:pStyle w:val="21"/>
        <w:spacing w:before="0" w:after="0"/>
        <w:ind w:firstLine="628" w:firstLineChars="196"/>
        <w:jc w:val="left"/>
        <w:rPr>
          <w:rFonts w:ascii="华文楷体" w:hAnsi="华文楷体" w:eastAsia="华文楷体"/>
          <w:highlight w:val="none"/>
        </w:rPr>
      </w:pPr>
      <w:bookmarkStart w:id="25" w:name="_Toc143592653"/>
      <w:r>
        <w:rPr>
          <w:rFonts w:hint="eastAsia" w:ascii="华文楷体" w:hAnsi="华文楷体" w:eastAsia="华文楷体"/>
          <w:highlight w:val="none"/>
        </w:rPr>
        <w:t>十二、国有资产占用情况说明</w:t>
      </w:r>
      <w:bookmarkEnd w:id="25"/>
    </w:p>
    <w:p>
      <w:pPr>
        <w:ind w:firstLine="640" w:firstLineChars="200"/>
        <w:rPr>
          <w:rFonts w:ascii="仿宋_GB2312" w:hAnsi="仿宋_GB2312" w:cs="仿宋_GB2312"/>
          <w:szCs w:val="32"/>
          <w:highlight w:val="none"/>
        </w:rPr>
      </w:pPr>
      <w:r>
        <w:rPr>
          <w:rFonts w:hint="eastAsia" w:ascii="仿宋_GB2312" w:hAnsi="仿宋_GB2312" w:cs="仿宋_GB2312"/>
          <w:szCs w:val="32"/>
          <w:highlight w:val="none"/>
        </w:rPr>
        <w:t>截至2022年 12月31日，</w:t>
      </w:r>
      <w:r>
        <w:rPr>
          <w:rFonts w:hint="eastAsia" w:ascii="仿宋_GB2312" w:hAnsi="仿宋_GB2312" w:cs="仿宋_GB2312"/>
          <w:szCs w:val="32"/>
          <w:highlight w:val="none"/>
          <w:lang w:eastAsia="zh-CN"/>
        </w:rPr>
        <w:t>我院</w:t>
      </w:r>
      <w:r>
        <w:rPr>
          <w:rFonts w:hint="eastAsia" w:ascii="仿宋_GB2312" w:hAnsi="仿宋_GB2312" w:cs="仿宋_GB2312"/>
          <w:szCs w:val="32"/>
          <w:highlight w:val="none"/>
        </w:rPr>
        <w:t>共有车辆 19辆，其中，机要通信用车1辆、执法执勤用车16辆、特种专业技术用车 2辆；单位价值 100万元以上设备1台（套）。</w:t>
      </w:r>
    </w:p>
    <w:p>
      <w:pPr>
        <w:pStyle w:val="21"/>
        <w:spacing w:before="0" w:after="0"/>
        <w:ind w:firstLine="628" w:firstLineChars="196"/>
        <w:jc w:val="left"/>
        <w:rPr>
          <w:rFonts w:ascii="华文楷体" w:hAnsi="华文楷体" w:eastAsia="华文楷体"/>
          <w:highlight w:val="none"/>
        </w:rPr>
      </w:pPr>
      <w:bookmarkStart w:id="26" w:name="_Toc143592654"/>
      <w:r>
        <w:rPr>
          <w:rFonts w:hint="eastAsia" w:ascii="华文楷体" w:hAnsi="华文楷体" w:eastAsia="华文楷体"/>
          <w:highlight w:val="none"/>
        </w:rPr>
        <w:t>十三、预算绩效情况说明</w:t>
      </w:r>
      <w:bookmarkEnd w:id="26"/>
    </w:p>
    <w:p>
      <w:pPr>
        <w:ind w:firstLine="643" w:firstLineChars="200"/>
        <w:rPr>
          <w:rFonts w:ascii="仿宋" w:hAnsi="仿宋" w:eastAsia="仿宋" w:cs="楷体_GB2312"/>
          <w:b/>
          <w:highlight w:val="none"/>
        </w:rPr>
      </w:pPr>
      <w:r>
        <w:rPr>
          <w:rFonts w:hint="eastAsia" w:ascii="仿宋" w:hAnsi="仿宋" w:eastAsia="仿宋" w:cs="楷体_GB2312"/>
          <w:b/>
          <w:highlight w:val="none"/>
        </w:rPr>
        <w:t>(一)预算绩效管理工作开展情况。</w:t>
      </w:r>
    </w:p>
    <w:p>
      <w:pPr>
        <w:pStyle w:val="26"/>
        <w:rPr>
          <w:highlight w:val="none"/>
        </w:rPr>
      </w:pPr>
      <w:r>
        <w:rPr>
          <w:rFonts w:hint="eastAsia"/>
          <w:highlight w:val="none"/>
        </w:rPr>
        <w:t>根据预算绩效管理要求，</w:t>
      </w:r>
      <w:r>
        <w:rPr>
          <w:rFonts w:hint="eastAsia"/>
          <w:highlight w:val="none"/>
          <w:lang w:eastAsia="zh-CN"/>
        </w:rPr>
        <w:t>我院</w:t>
      </w:r>
      <w:r>
        <w:rPr>
          <w:rFonts w:hint="eastAsia"/>
          <w:highlight w:val="none"/>
        </w:rPr>
        <w:t>组织对2022年度一般公共预算项目支出全面开展绩效自评，共涉及一级项目2个，除不可预见费等不纳入预算绩效自评范围资金外，占一般公共预算项目支出总额的100%。从评价情况来看，项目立项编制符合国家政策和部门职责要求，绩效目标设置较为合理，资金使用符合预算批复用途，项目实施规范有序，指标完成情况较好，达到预期目标。</w:t>
      </w:r>
    </w:p>
    <w:p>
      <w:pPr>
        <w:spacing w:line="560" w:lineRule="exact"/>
        <w:ind w:right="-320" w:rightChars="-100" w:firstLine="640" w:firstLineChars="200"/>
        <w:rPr>
          <w:rFonts w:ascii="仿宋" w:hAnsi="仿宋" w:eastAsia="仿宋" w:cs="宋体"/>
          <w:szCs w:val="20"/>
          <w:highlight w:val="none"/>
        </w:rPr>
      </w:pPr>
      <w:r>
        <w:rPr>
          <w:rFonts w:hint="eastAsia" w:ascii="仿宋" w:hAnsi="仿宋" w:eastAsia="仿宋" w:cs="宋体"/>
          <w:szCs w:val="20"/>
          <w:highlight w:val="none"/>
        </w:rPr>
        <w:t>组织开展部门整体支出绩效评价，从评价结果来看，完成年度部门整体绩效目标，社会效益较为显著。</w:t>
      </w:r>
    </w:p>
    <w:p>
      <w:pPr>
        <w:pStyle w:val="26"/>
        <w:rPr>
          <w:rFonts w:cs="仿宋_GB2312"/>
          <w:b/>
          <w:szCs w:val="32"/>
          <w:highlight w:val="none"/>
        </w:rPr>
      </w:pPr>
      <w:r>
        <w:rPr>
          <w:rFonts w:hint="eastAsia" w:cs="楷体_GB2312"/>
          <w:b/>
          <w:szCs w:val="32"/>
          <w:highlight w:val="none"/>
        </w:rPr>
        <w:t>（二）部门决算中项目绩效自评结果。</w:t>
      </w:r>
    </w:p>
    <w:p>
      <w:pPr>
        <w:pStyle w:val="26"/>
        <w:ind w:firstLine="641"/>
        <w:rPr>
          <w:szCs w:val="32"/>
          <w:highlight w:val="none"/>
        </w:rPr>
      </w:pPr>
      <w:r>
        <w:rPr>
          <w:rFonts w:hint="eastAsia"/>
          <w:szCs w:val="32"/>
          <w:highlight w:val="none"/>
        </w:rPr>
        <w:t>我</w:t>
      </w:r>
      <w:r>
        <w:rPr>
          <w:rFonts w:hint="eastAsia"/>
          <w:szCs w:val="32"/>
          <w:highlight w:val="none"/>
          <w:lang w:eastAsia="zh-CN"/>
        </w:rPr>
        <w:t>院</w:t>
      </w:r>
      <w:r>
        <w:rPr>
          <w:rFonts w:hint="eastAsia"/>
          <w:szCs w:val="32"/>
          <w:highlight w:val="none"/>
        </w:rPr>
        <w:t>今年在</w:t>
      </w:r>
      <w:r>
        <w:rPr>
          <w:rFonts w:hint="eastAsia"/>
          <w:szCs w:val="32"/>
          <w:highlight w:val="none"/>
          <w:lang w:eastAsia="zh-CN"/>
        </w:rPr>
        <w:t>单位</w:t>
      </w:r>
      <w:r>
        <w:rPr>
          <w:rFonts w:hint="eastAsia"/>
          <w:szCs w:val="32"/>
          <w:highlight w:val="none"/>
        </w:rPr>
        <w:t>决算中反映所有项目绩效自评结果（涉密项目除外）。</w:t>
      </w:r>
    </w:p>
    <w:p>
      <w:pPr>
        <w:pStyle w:val="26"/>
        <w:ind w:firstLine="641"/>
        <w:rPr>
          <w:szCs w:val="32"/>
          <w:highlight w:val="none"/>
        </w:rPr>
      </w:pPr>
      <w:r>
        <w:rPr>
          <w:rFonts w:hint="eastAsia"/>
          <w:szCs w:val="32"/>
          <w:highlight w:val="none"/>
        </w:rPr>
        <w:t>1.2022年度办案业务专项经费项目绩效自评综述</w:t>
      </w:r>
    </w:p>
    <w:p>
      <w:pPr>
        <w:pStyle w:val="26"/>
        <w:ind w:firstLine="641"/>
        <w:rPr>
          <w:szCs w:val="32"/>
          <w:highlight w:val="none"/>
        </w:rPr>
      </w:pPr>
      <w:r>
        <w:rPr>
          <w:rFonts w:hint="eastAsia"/>
          <w:szCs w:val="32"/>
          <w:highlight w:val="none"/>
        </w:rPr>
        <w:t>项目预算数为629.16万元，全年实际执行629.16万元，预算执行率为100%。主要产出和效益：案件立案率100%，减少发回重审案件0.2%，项目成本控制率不超预算，审限内完成无超审案件，保障当事人合法权益，促进经济发展社会和谐稳定，裁判文书上网率≥80%。</w:t>
      </w:r>
    </w:p>
    <w:p>
      <w:pPr>
        <w:spacing w:line="560" w:lineRule="exact"/>
        <w:ind w:firstLine="641"/>
        <w:rPr>
          <w:rFonts w:ascii="仿宋" w:hAnsi="仿宋" w:eastAsia="仿宋" w:cs="宋体"/>
          <w:szCs w:val="32"/>
          <w:highlight w:val="none"/>
        </w:rPr>
      </w:pPr>
      <w:r>
        <w:rPr>
          <w:rFonts w:hint="eastAsia" w:ascii="仿宋" w:hAnsi="仿宋" w:eastAsia="仿宋" w:cs="宋体"/>
          <w:szCs w:val="32"/>
          <w:highlight w:val="none"/>
        </w:rPr>
        <w:t>发现的问题及原因: 项目绩效指标设置不够全面、明晰，绩效自评结果质量不高，评价结果在预算安排、预算执行等环节的深入应用尚待加强。</w:t>
      </w:r>
    </w:p>
    <w:p>
      <w:pPr>
        <w:pStyle w:val="26"/>
        <w:ind w:firstLine="641"/>
        <w:rPr>
          <w:szCs w:val="32"/>
          <w:highlight w:val="none"/>
        </w:rPr>
      </w:pPr>
      <w:r>
        <w:rPr>
          <w:rFonts w:hint="eastAsia"/>
          <w:szCs w:val="32"/>
          <w:highlight w:val="none"/>
        </w:rPr>
        <w:t>下一步改进措施：强化绩效评价相关知识的学习，借鉴吸收经验，加强部门沟通协作，优化绩效目标管理，提高绩效自评工作质量。逐步建立和完善预算绩效管理激励约束机制，推动和促进绩效评价结果与预算安排、预算执行良性互动。</w:t>
      </w:r>
    </w:p>
    <w:p>
      <w:pPr>
        <w:pStyle w:val="26"/>
        <w:ind w:firstLine="641"/>
        <w:rPr>
          <w:szCs w:val="32"/>
          <w:highlight w:val="none"/>
        </w:rPr>
      </w:pPr>
      <w:r>
        <w:rPr>
          <w:rFonts w:hint="eastAsia"/>
          <w:szCs w:val="32"/>
          <w:highlight w:val="none"/>
        </w:rPr>
        <w:t>2.</w:t>
      </w:r>
      <w:r>
        <w:rPr>
          <w:szCs w:val="32"/>
          <w:highlight w:val="none"/>
        </w:rPr>
        <w:t>20</w:t>
      </w:r>
      <w:r>
        <w:rPr>
          <w:rFonts w:hint="eastAsia"/>
          <w:szCs w:val="32"/>
          <w:highlight w:val="none"/>
        </w:rPr>
        <w:t>22年度信息化运行维护专项经费项目绩效自评综述</w:t>
      </w:r>
    </w:p>
    <w:p>
      <w:pPr>
        <w:pStyle w:val="26"/>
        <w:ind w:firstLine="641"/>
        <w:rPr>
          <w:szCs w:val="32"/>
          <w:highlight w:val="none"/>
        </w:rPr>
      </w:pPr>
      <w:r>
        <w:rPr>
          <w:rFonts w:hint="eastAsia"/>
          <w:szCs w:val="32"/>
          <w:highlight w:val="none"/>
        </w:rPr>
        <w:t>项目预算数为68</w:t>
      </w:r>
      <w:r>
        <w:rPr>
          <w:szCs w:val="32"/>
          <w:highlight w:val="none"/>
        </w:rPr>
        <w:t>万元，全年实际执行</w:t>
      </w:r>
      <w:r>
        <w:rPr>
          <w:rFonts w:hint="eastAsia"/>
          <w:szCs w:val="32"/>
          <w:highlight w:val="none"/>
        </w:rPr>
        <w:t>68</w:t>
      </w:r>
      <w:r>
        <w:rPr>
          <w:szCs w:val="32"/>
          <w:highlight w:val="none"/>
        </w:rPr>
        <w:t>万元，预算执行率为</w:t>
      </w:r>
      <w:r>
        <w:rPr>
          <w:rFonts w:hint="eastAsia"/>
          <w:szCs w:val="32"/>
          <w:highlight w:val="none"/>
        </w:rPr>
        <w:t>100</w:t>
      </w:r>
      <w:r>
        <w:rPr>
          <w:szCs w:val="32"/>
          <w:highlight w:val="none"/>
        </w:rPr>
        <w:t>%</w:t>
      </w:r>
      <w:r>
        <w:rPr>
          <w:rFonts w:hint="eastAsia"/>
          <w:szCs w:val="32"/>
          <w:highlight w:val="none"/>
        </w:rPr>
        <w:t>。主要产出和效益：项目成本控制率100%，系统故障修复响应时间及时，系统正常运行率≥90%，信息系统数据实时更新率≥90%，档案信息共享率≥90%，让干警和当事人满意。</w:t>
      </w:r>
    </w:p>
    <w:p>
      <w:pPr>
        <w:pStyle w:val="26"/>
        <w:ind w:firstLine="641"/>
        <w:rPr>
          <w:szCs w:val="32"/>
          <w:highlight w:val="none"/>
        </w:rPr>
      </w:pPr>
      <w:r>
        <w:rPr>
          <w:rFonts w:hint="eastAsia"/>
          <w:szCs w:val="32"/>
          <w:highlight w:val="none"/>
        </w:rPr>
        <w:t>发现的问题及原因：项目预算资金执行进度整体较好。</w:t>
      </w:r>
    </w:p>
    <w:p>
      <w:pPr>
        <w:spacing w:line="560" w:lineRule="exact"/>
        <w:ind w:firstLine="641"/>
        <w:rPr>
          <w:rFonts w:ascii="仿宋" w:hAnsi="仿宋" w:eastAsia="仿宋" w:cs="宋体"/>
          <w:szCs w:val="32"/>
          <w:highlight w:val="none"/>
        </w:rPr>
      </w:pPr>
      <w:r>
        <w:rPr>
          <w:rFonts w:hint="eastAsia" w:ascii="仿宋" w:hAnsi="仿宋" w:eastAsia="仿宋" w:cs="宋体"/>
          <w:szCs w:val="32"/>
          <w:highlight w:val="none"/>
        </w:rPr>
        <w:t>下一步改进措施：加强预算编制的前瞻性和科学性，建立预算执行动态管理机制。一是加强项目前期论证，项目单位应合理预测项目实施推进中潜在的难点和风险点，精准编制预算。二是加强对预算执行进行动态跟踪，推进项目资金支付进度。三是加强项目成本费用支出管理，不断提升资金使用效率。</w:t>
      </w:r>
    </w:p>
    <w:p>
      <w:pPr>
        <w:spacing w:line="560" w:lineRule="exact"/>
        <w:ind w:firstLine="640"/>
        <w:rPr>
          <w:rFonts w:ascii="仿宋" w:hAnsi="仿宋" w:eastAsia="仿宋" w:cs="楷体_GB2312"/>
          <w:b/>
          <w:bCs/>
          <w:szCs w:val="32"/>
          <w:highlight w:val="none"/>
        </w:rPr>
      </w:pPr>
      <w:r>
        <w:rPr>
          <w:rFonts w:hint="eastAsia" w:ascii="仿宋" w:hAnsi="仿宋" w:eastAsia="仿宋" w:cs="楷体_GB2312"/>
          <w:b/>
          <w:szCs w:val="32"/>
          <w:highlight w:val="none"/>
        </w:rPr>
        <w:t>（三）</w:t>
      </w:r>
      <w:r>
        <w:rPr>
          <w:rFonts w:hint="eastAsia" w:ascii="仿宋" w:hAnsi="仿宋" w:eastAsia="仿宋" w:cs="楷体_GB2312"/>
          <w:b/>
          <w:bCs/>
          <w:szCs w:val="32"/>
          <w:highlight w:val="none"/>
        </w:rPr>
        <w:t>绩效评价结果应用情况。</w:t>
      </w:r>
    </w:p>
    <w:p>
      <w:pPr>
        <w:pStyle w:val="26"/>
        <w:ind w:firstLine="641"/>
        <w:rPr>
          <w:szCs w:val="32"/>
          <w:highlight w:val="none"/>
        </w:rPr>
      </w:pPr>
      <w:r>
        <w:rPr>
          <w:szCs w:val="32"/>
          <w:highlight w:val="none"/>
        </w:rPr>
        <w:t>1</w:t>
      </w:r>
      <w:r>
        <w:rPr>
          <w:rFonts w:hint="eastAsia"/>
          <w:szCs w:val="32"/>
          <w:highlight w:val="none"/>
        </w:rPr>
        <w:t>.部门绩效评价结果应用情况</w:t>
      </w:r>
    </w:p>
    <w:p>
      <w:pPr>
        <w:pStyle w:val="26"/>
        <w:ind w:firstLine="641"/>
        <w:rPr>
          <w:szCs w:val="32"/>
          <w:highlight w:val="none"/>
        </w:rPr>
      </w:pPr>
      <w:r>
        <w:rPr>
          <w:rFonts w:hint="eastAsia"/>
          <w:szCs w:val="32"/>
          <w:highlight w:val="none"/>
        </w:rPr>
        <w:t>我院积极发挥指导协调作用，督促全市法院加强项目预算编制与执行审核力度。同时，强化对全市法院</w:t>
      </w:r>
      <w:r>
        <w:rPr>
          <w:szCs w:val="32"/>
          <w:highlight w:val="none"/>
        </w:rPr>
        <w:t>预算</w:t>
      </w:r>
      <w:r>
        <w:rPr>
          <w:rFonts w:hint="eastAsia"/>
          <w:szCs w:val="32"/>
          <w:highlight w:val="none"/>
        </w:rPr>
        <w:t>文本的审核，</w:t>
      </w:r>
      <w:r>
        <w:rPr>
          <w:szCs w:val="32"/>
          <w:highlight w:val="none"/>
        </w:rPr>
        <w:t>促进</w:t>
      </w:r>
      <w:r>
        <w:rPr>
          <w:rFonts w:hint="eastAsia"/>
          <w:szCs w:val="32"/>
          <w:highlight w:val="none"/>
        </w:rPr>
        <w:t>全市</w:t>
      </w:r>
      <w:r>
        <w:rPr>
          <w:szCs w:val="32"/>
          <w:highlight w:val="none"/>
        </w:rPr>
        <w:t>法院</w:t>
      </w:r>
      <w:r>
        <w:rPr>
          <w:rFonts w:hint="eastAsia"/>
          <w:szCs w:val="32"/>
          <w:highlight w:val="none"/>
        </w:rPr>
        <w:t>提升</w:t>
      </w:r>
      <w:r>
        <w:rPr>
          <w:szCs w:val="32"/>
          <w:highlight w:val="none"/>
        </w:rPr>
        <w:t>预算编制质量</w:t>
      </w:r>
      <w:r>
        <w:rPr>
          <w:rFonts w:hint="eastAsia"/>
          <w:szCs w:val="32"/>
          <w:highlight w:val="none"/>
        </w:rPr>
        <w:t>。我院依据部门绩效评价结果更新项目绩效指标体系库，指导全市法院规范合理设置项目绩效指标</w:t>
      </w:r>
      <w:r>
        <w:rPr>
          <w:szCs w:val="32"/>
          <w:highlight w:val="none"/>
        </w:rPr>
        <w:t>，</w:t>
      </w:r>
      <w:r>
        <w:rPr>
          <w:rFonts w:hint="eastAsia"/>
          <w:szCs w:val="32"/>
          <w:highlight w:val="none"/>
        </w:rPr>
        <w:t>提升绩效自评工作质量。</w:t>
      </w:r>
    </w:p>
    <w:p>
      <w:pPr>
        <w:pStyle w:val="26"/>
        <w:ind w:firstLineChars="200"/>
        <w:rPr>
          <w:szCs w:val="32"/>
          <w:highlight w:val="none"/>
        </w:rPr>
      </w:pPr>
      <w:r>
        <w:rPr>
          <w:rFonts w:hint="eastAsia"/>
          <w:szCs w:val="32"/>
          <w:highlight w:val="none"/>
        </w:rPr>
        <w:t>2.部门绩效评价结果拟应用情况</w:t>
      </w:r>
    </w:p>
    <w:p>
      <w:pPr>
        <w:pStyle w:val="26"/>
        <w:ind w:firstLineChars="200"/>
        <w:rPr>
          <w:szCs w:val="32"/>
          <w:highlight w:val="none"/>
        </w:rPr>
      </w:pPr>
      <w:r>
        <w:rPr>
          <w:rFonts w:hint="eastAsia"/>
          <w:szCs w:val="32"/>
          <w:highlight w:val="none"/>
        </w:rPr>
        <w:t>一是</w:t>
      </w:r>
      <w:r>
        <w:rPr>
          <w:szCs w:val="32"/>
          <w:highlight w:val="none"/>
        </w:rPr>
        <w:t>提高项目执行部门预算绩效管理工作的认知深度和重视程度。</w:t>
      </w:r>
      <w:r>
        <w:rPr>
          <w:rFonts w:hint="eastAsia"/>
          <w:szCs w:val="32"/>
          <w:highlight w:val="none"/>
        </w:rPr>
        <w:t>二是</w:t>
      </w:r>
      <w:r>
        <w:rPr>
          <w:szCs w:val="32"/>
          <w:highlight w:val="none"/>
        </w:rPr>
        <w:t>将自评结果作为下年度预算资金安排、预算编制、绩效目标编制的重要依据，促进财政资金的合理分配和有效使用</w:t>
      </w:r>
      <w:r>
        <w:rPr>
          <w:rFonts w:hint="eastAsia"/>
          <w:szCs w:val="32"/>
          <w:highlight w:val="none"/>
        </w:rPr>
        <w:t>。三是根据自评结果反映的问题，进一步督促各级法院提升绩效自评质量。四是将绩效自评结果适时向社会公开，接受社会公众监督。</w:t>
      </w:r>
    </w:p>
    <w:p>
      <w:pPr>
        <w:pStyle w:val="21"/>
        <w:spacing w:before="0" w:after="0"/>
        <w:ind w:firstLine="628" w:firstLineChars="196"/>
        <w:jc w:val="left"/>
        <w:rPr>
          <w:rFonts w:ascii="华文楷体" w:hAnsi="华文楷体" w:eastAsia="华文楷体" w:cs="楷体_GB2312"/>
          <w:highlight w:val="none"/>
        </w:rPr>
      </w:pPr>
      <w:bookmarkStart w:id="27" w:name="_Toc143592655"/>
      <w:r>
        <w:rPr>
          <w:rFonts w:hint="eastAsia" w:ascii="华文楷体" w:hAnsi="华文楷体" w:eastAsia="华文楷体" w:cs="楷体_GB2312"/>
          <w:highlight w:val="none"/>
        </w:rPr>
        <w:t>十四、</w:t>
      </w:r>
      <w:r>
        <w:rPr>
          <w:rFonts w:hint="eastAsia" w:ascii="华文楷体" w:hAnsi="华文楷体" w:eastAsia="华文楷体"/>
          <w:highlight w:val="none"/>
        </w:rPr>
        <w:t>专项支出、转移支付支出情况说明</w:t>
      </w:r>
      <w:bookmarkEnd w:id="27"/>
    </w:p>
    <w:p>
      <w:pPr>
        <w:rPr>
          <w:highlight w:val="none"/>
        </w:rPr>
      </w:pPr>
      <w:r>
        <w:rPr>
          <w:rFonts w:hint="eastAsia"/>
          <w:highlight w:val="none"/>
        </w:rPr>
        <w:t xml:space="preserve">    本</w:t>
      </w:r>
      <w:r>
        <w:rPr>
          <w:rFonts w:hint="eastAsia"/>
          <w:highlight w:val="none"/>
          <w:lang w:eastAsia="zh-CN"/>
        </w:rPr>
        <w:t>单位</w:t>
      </w:r>
      <w:r>
        <w:rPr>
          <w:rFonts w:hint="eastAsia"/>
          <w:highlight w:val="none"/>
        </w:rPr>
        <w:t>无财政专项支出、专项转移支付支出。</w:t>
      </w:r>
    </w:p>
    <w:p>
      <w:pPr>
        <w:pStyle w:val="21"/>
        <w:spacing w:before="0" w:after="0"/>
        <w:ind w:firstLine="630" w:firstLineChars="196"/>
        <w:jc w:val="left"/>
        <w:rPr>
          <w:rFonts w:ascii="黑体" w:hAnsi="黑体" w:eastAsia="黑体"/>
          <w:highlight w:val="none"/>
        </w:rPr>
      </w:pPr>
      <w:bookmarkStart w:id="28" w:name="_Toc143592656"/>
      <w:r>
        <w:rPr>
          <w:rFonts w:hint="eastAsia" w:ascii="黑体" w:hAnsi="黑体" w:eastAsia="黑体"/>
          <w:highlight w:val="none"/>
        </w:rPr>
        <w:t>第四部分  其他需要说明的情况</w:t>
      </w:r>
      <w:bookmarkEnd w:id="28"/>
    </w:p>
    <w:p>
      <w:pPr>
        <w:ind w:firstLine="640" w:firstLineChars="200"/>
        <w:rPr>
          <w:rFonts w:ascii="仿宋" w:hAnsi="仿宋" w:eastAsia="仿宋"/>
          <w:color w:val="333333"/>
          <w:szCs w:val="32"/>
          <w:highlight w:val="none"/>
          <w:shd w:val="clear" w:color="auto" w:fill="FFFFFF"/>
        </w:rPr>
      </w:pPr>
      <w:r>
        <w:rPr>
          <w:rFonts w:hint="eastAsia" w:ascii="仿宋" w:hAnsi="仿宋" w:eastAsia="仿宋"/>
          <w:color w:val="333333"/>
          <w:szCs w:val="32"/>
          <w:highlight w:val="none"/>
          <w:shd w:val="clear" w:color="auto" w:fill="FFFFFF"/>
          <w:lang w:eastAsia="zh-CN"/>
        </w:rPr>
        <w:t>本单位</w:t>
      </w:r>
      <w:r>
        <w:rPr>
          <w:rFonts w:hint="eastAsia" w:ascii="仿宋" w:hAnsi="仿宋" w:eastAsia="仿宋"/>
          <w:color w:val="333333"/>
          <w:szCs w:val="32"/>
          <w:highlight w:val="none"/>
          <w:shd w:val="clear" w:color="auto" w:fill="FFFFFF"/>
        </w:rPr>
        <w:t>2022年无政府性基金收支、国有资本经营预算财政拨款支出、财政专项支出、专项转移支付支出，故2022年决算公开</w:t>
      </w:r>
      <w:r>
        <w:rPr>
          <w:rFonts w:hint="eastAsia" w:ascii="仿宋" w:hAnsi="仿宋" w:eastAsia="仿宋"/>
          <w:color w:val="333333"/>
          <w:szCs w:val="32"/>
          <w:highlight w:val="none"/>
          <w:shd w:val="clear" w:color="auto" w:fill="FFFFFF"/>
          <w:lang w:eastAsia="zh-CN"/>
        </w:rPr>
        <w:t>表中表</w:t>
      </w:r>
      <w:r>
        <w:rPr>
          <w:rFonts w:hint="eastAsia" w:ascii="仿宋" w:hAnsi="仿宋" w:eastAsia="仿宋"/>
          <w:color w:val="333333"/>
          <w:szCs w:val="32"/>
          <w:highlight w:val="none"/>
          <w:shd w:val="clear" w:color="auto" w:fill="FFFFFF"/>
          <w:lang w:val="en-US" w:eastAsia="zh-CN"/>
        </w:rPr>
        <w:t>7《</w:t>
      </w:r>
      <w:r>
        <w:rPr>
          <w:rFonts w:hint="eastAsia" w:ascii="仿宋" w:hAnsi="仿宋" w:eastAsia="仿宋"/>
          <w:highlight w:val="none"/>
        </w:rPr>
        <w:t>政府性</w:t>
      </w:r>
      <w:r>
        <w:rPr>
          <w:rFonts w:ascii="仿宋" w:hAnsi="仿宋" w:eastAsia="仿宋"/>
          <w:highlight w:val="none"/>
        </w:rPr>
        <w:t>基金预算财政拨款收入支出决算表</w:t>
      </w:r>
      <w:r>
        <w:rPr>
          <w:rFonts w:hint="eastAsia" w:ascii="仿宋" w:hAnsi="仿宋" w:eastAsia="仿宋"/>
          <w:color w:val="333333"/>
          <w:szCs w:val="32"/>
          <w:highlight w:val="none"/>
          <w:shd w:val="clear" w:color="auto" w:fill="FFFFFF"/>
        </w:rPr>
        <w:t>》、</w:t>
      </w:r>
      <w:r>
        <w:rPr>
          <w:rFonts w:hint="eastAsia" w:ascii="仿宋" w:hAnsi="仿宋" w:eastAsia="仿宋"/>
          <w:color w:val="333333"/>
          <w:szCs w:val="32"/>
          <w:highlight w:val="none"/>
          <w:shd w:val="clear" w:color="auto" w:fill="FFFFFF"/>
          <w:lang w:eastAsia="zh-CN"/>
        </w:rPr>
        <w:t>表</w:t>
      </w:r>
      <w:r>
        <w:rPr>
          <w:rFonts w:hint="eastAsia" w:ascii="仿宋" w:hAnsi="仿宋" w:eastAsia="仿宋"/>
          <w:color w:val="333333"/>
          <w:szCs w:val="32"/>
          <w:highlight w:val="none"/>
          <w:shd w:val="clear" w:color="auto" w:fill="FFFFFF"/>
          <w:lang w:val="en-US" w:eastAsia="zh-CN"/>
        </w:rPr>
        <w:t>8</w:t>
      </w:r>
      <w:r>
        <w:rPr>
          <w:rFonts w:hint="eastAsia" w:ascii="仿宋" w:hAnsi="仿宋" w:eastAsia="仿宋"/>
          <w:color w:val="333333"/>
          <w:szCs w:val="32"/>
          <w:highlight w:val="none"/>
          <w:shd w:val="clear" w:color="auto" w:fill="FFFFFF"/>
        </w:rPr>
        <w:t>《</w:t>
      </w:r>
      <w:r>
        <w:rPr>
          <w:rFonts w:hint="eastAsia" w:ascii="仿宋" w:hAnsi="仿宋" w:eastAsia="仿宋"/>
          <w:highlight w:val="none"/>
        </w:rPr>
        <w:t>国有资本经营预算财政拨款支出决算表</w:t>
      </w:r>
      <w:r>
        <w:rPr>
          <w:rFonts w:hint="eastAsia" w:ascii="仿宋" w:hAnsi="仿宋" w:eastAsia="仿宋"/>
          <w:color w:val="333333"/>
          <w:szCs w:val="32"/>
          <w:highlight w:val="none"/>
          <w:shd w:val="clear" w:color="auto" w:fill="FFFFFF"/>
        </w:rPr>
        <w:t>》为空表。</w:t>
      </w:r>
    </w:p>
    <w:p>
      <w:pPr>
        <w:pStyle w:val="21"/>
        <w:spacing w:before="0" w:after="0"/>
        <w:ind w:firstLine="630" w:firstLineChars="196"/>
        <w:jc w:val="left"/>
        <w:rPr>
          <w:rFonts w:ascii="黑体" w:hAnsi="黑体" w:eastAsia="黑体"/>
          <w:highlight w:val="none"/>
        </w:rPr>
      </w:pPr>
      <w:bookmarkStart w:id="29" w:name="_Toc143592657"/>
      <w:r>
        <w:rPr>
          <w:rFonts w:hint="eastAsia" w:ascii="黑体" w:hAnsi="黑体" w:eastAsia="黑体"/>
          <w:highlight w:val="none"/>
        </w:rPr>
        <w:t>第五部分  名词解释</w:t>
      </w:r>
      <w:bookmarkEnd w:id="29"/>
    </w:p>
    <w:p>
      <w:pPr>
        <w:spacing w:line="560" w:lineRule="exact"/>
        <w:ind w:firstLine="640"/>
        <w:rPr>
          <w:rFonts w:ascii="仿宋_GB2312"/>
          <w:bCs/>
          <w:kern w:val="44"/>
          <w:szCs w:val="32"/>
          <w:highlight w:val="none"/>
        </w:rPr>
      </w:pPr>
      <w:r>
        <w:rPr>
          <w:rFonts w:hint="eastAsia" w:ascii="仿宋_GB2312" w:hAnsi="仿宋" w:cs="仿宋"/>
          <w:szCs w:val="32"/>
          <w:highlight w:val="none"/>
        </w:rPr>
        <w:t>(一)一般公共预算财政拨款收入：</w:t>
      </w:r>
      <w:r>
        <w:rPr>
          <w:rFonts w:ascii="仿宋_GB2312" w:hAnsi="仿宋" w:cs="仿宋"/>
          <w:szCs w:val="32"/>
          <w:highlight w:val="none"/>
        </w:rPr>
        <w:t>指</w:t>
      </w:r>
      <w:r>
        <w:rPr>
          <w:rFonts w:hint="eastAsia" w:ascii="仿宋_GB2312" w:hAnsi="仿宋" w:cs="仿宋"/>
          <w:szCs w:val="32"/>
          <w:highlight w:val="none"/>
        </w:rPr>
        <w:t>省级</w:t>
      </w:r>
      <w:r>
        <w:rPr>
          <w:rFonts w:ascii="仿宋_GB2312"/>
          <w:bCs/>
          <w:kern w:val="44"/>
          <w:szCs w:val="32"/>
          <w:highlight w:val="none"/>
        </w:rPr>
        <w:t>财政</w:t>
      </w:r>
      <w:r>
        <w:rPr>
          <w:rFonts w:hint="eastAsia" w:ascii="仿宋_GB2312"/>
          <w:bCs/>
          <w:kern w:val="44"/>
          <w:szCs w:val="32"/>
          <w:highlight w:val="none"/>
        </w:rPr>
        <w:t>一般公共预算</w:t>
      </w:r>
      <w:r>
        <w:rPr>
          <w:rFonts w:ascii="仿宋_GB2312"/>
          <w:bCs/>
          <w:kern w:val="44"/>
          <w:szCs w:val="32"/>
          <w:highlight w:val="none"/>
        </w:rPr>
        <w:t>当年拨付的</w:t>
      </w:r>
      <w:r>
        <w:rPr>
          <w:rFonts w:hint="eastAsia" w:ascii="仿宋_GB2312"/>
          <w:bCs/>
          <w:kern w:val="44"/>
          <w:szCs w:val="32"/>
          <w:highlight w:val="none"/>
        </w:rPr>
        <w:t>资金。</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(二)政府性基金预算财政拨款收入：</w:t>
      </w:r>
      <w:r>
        <w:rPr>
          <w:rFonts w:ascii="仿宋_GB2312"/>
          <w:bCs/>
          <w:kern w:val="44"/>
          <w:szCs w:val="32"/>
          <w:highlight w:val="none"/>
        </w:rPr>
        <w:t>指</w:t>
      </w:r>
      <w:r>
        <w:rPr>
          <w:rFonts w:hint="eastAsia" w:ascii="仿宋_GB2312" w:hAnsi="仿宋" w:cs="仿宋"/>
          <w:szCs w:val="32"/>
          <w:highlight w:val="none"/>
        </w:rPr>
        <w:t>省级</w:t>
      </w:r>
      <w:r>
        <w:rPr>
          <w:rFonts w:ascii="仿宋_GB2312"/>
          <w:bCs/>
          <w:kern w:val="44"/>
          <w:szCs w:val="32"/>
          <w:highlight w:val="none"/>
        </w:rPr>
        <w:t>财政</w:t>
      </w:r>
      <w:r>
        <w:rPr>
          <w:rFonts w:hint="eastAsia" w:ascii="仿宋_GB2312"/>
          <w:bCs/>
          <w:kern w:val="44"/>
          <w:szCs w:val="32"/>
          <w:highlight w:val="none"/>
        </w:rPr>
        <w:t>政府性基金预算</w:t>
      </w:r>
      <w:r>
        <w:rPr>
          <w:rFonts w:ascii="仿宋_GB2312"/>
          <w:bCs/>
          <w:kern w:val="44"/>
          <w:szCs w:val="32"/>
          <w:highlight w:val="none"/>
        </w:rPr>
        <w:t>当年拨付的</w:t>
      </w:r>
      <w:r>
        <w:rPr>
          <w:rFonts w:hint="eastAsia" w:ascii="仿宋_GB2312"/>
          <w:bCs/>
          <w:kern w:val="44"/>
          <w:szCs w:val="32"/>
          <w:highlight w:val="none"/>
        </w:rPr>
        <w:t>资金。</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(三)国有资本经营预算财政拨款收入：指</w:t>
      </w:r>
      <w:r>
        <w:rPr>
          <w:rFonts w:hint="eastAsia" w:ascii="仿宋_GB2312" w:hAnsi="仿宋" w:cs="仿宋"/>
          <w:szCs w:val="32"/>
          <w:highlight w:val="none"/>
        </w:rPr>
        <w:t>省级</w:t>
      </w:r>
      <w:r>
        <w:rPr>
          <w:rFonts w:hint="eastAsia" w:ascii="仿宋_GB2312"/>
          <w:bCs/>
          <w:kern w:val="44"/>
          <w:szCs w:val="32"/>
          <w:highlight w:val="none"/>
        </w:rPr>
        <w:t>财政国有资本经营预算当年拨付的资金。</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(四)上级补助收入：指从</w:t>
      </w:r>
      <w:r>
        <w:rPr>
          <w:rFonts w:hint="eastAsia" w:ascii="仿宋_GB2312" w:hAnsi="宋体"/>
          <w:szCs w:val="32"/>
          <w:highlight w:val="none"/>
        </w:rPr>
        <w:t>事业单位</w:t>
      </w:r>
      <w:r>
        <w:rPr>
          <w:rFonts w:hint="eastAsia" w:ascii="仿宋_GB2312"/>
          <w:bCs/>
          <w:kern w:val="44"/>
          <w:szCs w:val="32"/>
          <w:highlight w:val="none"/>
        </w:rPr>
        <w:t>主管部门和上级单位取得的非财政补助收入。</w:t>
      </w:r>
    </w:p>
    <w:p>
      <w:pPr>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(五)事业收入：指事业单位开展专业业务活动及其辅助活动取得的收入。</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(六)经营收入：指事业单位在专业业务活动及其辅助活动之外开展非独立核算经营活动取得的收入。</w:t>
      </w:r>
    </w:p>
    <w:p>
      <w:pPr>
        <w:adjustRightInd w:val="0"/>
        <w:snapToGrid w:val="0"/>
        <w:spacing w:line="360" w:lineRule="auto"/>
        <w:ind w:firstLine="640" w:firstLineChars="200"/>
        <w:rPr>
          <w:rFonts w:ascii="仿宋_GB2312" w:hAnsi="宋体"/>
          <w:szCs w:val="32"/>
          <w:highlight w:val="none"/>
        </w:rPr>
      </w:pPr>
      <w:r>
        <w:rPr>
          <w:rFonts w:hint="eastAsia" w:ascii="仿宋_GB2312"/>
          <w:bCs/>
          <w:kern w:val="44"/>
          <w:szCs w:val="32"/>
          <w:highlight w:val="none"/>
        </w:rPr>
        <w:t>(七)其他收入：指</w:t>
      </w:r>
      <w:r>
        <w:rPr>
          <w:rFonts w:hint="eastAsia" w:ascii="仿宋_GB2312" w:hAnsi="宋体"/>
          <w:szCs w:val="32"/>
          <w:highlight w:val="none"/>
        </w:rPr>
        <w:t>单位取得的除上述“一般公共预算财政拨款收入”、“政府性基金</w:t>
      </w:r>
      <w:r>
        <w:rPr>
          <w:rFonts w:hint="eastAsia" w:ascii="仿宋_GB2312"/>
          <w:spacing w:val="6"/>
          <w:szCs w:val="32"/>
          <w:highlight w:val="none"/>
        </w:rPr>
        <w:t>预算</w:t>
      </w:r>
      <w:r>
        <w:rPr>
          <w:rFonts w:hint="eastAsia" w:ascii="仿宋_GB2312"/>
          <w:bCs/>
          <w:kern w:val="44"/>
          <w:szCs w:val="32"/>
          <w:highlight w:val="none"/>
        </w:rPr>
        <w:t>财政拨款收入</w:t>
      </w:r>
      <w:r>
        <w:rPr>
          <w:rFonts w:hint="eastAsia" w:ascii="仿宋_GB2312" w:hAnsi="宋体"/>
          <w:szCs w:val="32"/>
          <w:highlight w:val="none"/>
        </w:rPr>
        <w:t>”、“</w:t>
      </w:r>
      <w:r>
        <w:rPr>
          <w:rFonts w:hint="eastAsia" w:ascii="仿宋_GB2312"/>
          <w:bCs/>
          <w:kern w:val="44"/>
          <w:szCs w:val="32"/>
          <w:highlight w:val="none"/>
        </w:rPr>
        <w:t>国有资本经营预算财政拨款收入</w:t>
      </w:r>
      <w:r>
        <w:rPr>
          <w:rFonts w:hint="eastAsia" w:ascii="仿宋_GB2312" w:hAnsi="宋体"/>
          <w:szCs w:val="32"/>
          <w:highlight w:val="none"/>
        </w:rPr>
        <w:t>”、“</w:t>
      </w:r>
      <w:r>
        <w:rPr>
          <w:rFonts w:hint="eastAsia" w:ascii="仿宋_GB2312"/>
          <w:bCs/>
          <w:kern w:val="44"/>
          <w:szCs w:val="32"/>
          <w:highlight w:val="none"/>
        </w:rPr>
        <w:t>上级补助收入</w:t>
      </w:r>
      <w:r>
        <w:rPr>
          <w:rFonts w:hint="eastAsia" w:ascii="仿宋_GB2312" w:hAnsi="宋体"/>
          <w:szCs w:val="32"/>
          <w:highlight w:val="none"/>
        </w:rPr>
        <w:t>”、“事业收入”、“经营收入”等收入以外的各项收入。（该</w:t>
      </w:r>
      <w:r>
        <w:rPr>
          <w:rFonts w:hint="eastAsia" w:ascii="仿宋" w:hAnsi="仿宋" w:eastAsia="仿宋" w:cs="仿宋"/>
          <w:szCs w:val="32"/>
          <w:highlight w:val="none"/>
        </w:rPr>
        <w:t>项名词解释中“上述……等收入”请依据部门收入的实际情况进行解释</w:t>
      </w:r>
      <w:r>
        <w:rPr>
          <w:rFonts w:hint="eastAsia" w:ascii="仿宋_GB2312" w:hAnsi="宋体"/>
          <w:szCs w:val="32"/>
          <w:highlight w:val="none"/>
        </w:rPr>
        <w:t>）</w:t>
      </w:r>
    </w:p>
    <w:p>
      <w:pPr>
        <w:adjustRightInd w:val="0"/>
        <w:snapToGrid w:val="0"/>
        <w:spacing w:line="360" w:lineRule="auto"/>
        <w:ind w:firstLine="640" w:firstLineChars="200"/>
        <w:rPr>
          <w:rFonts w:ascii="仿宋_GB2312" w:hAnsi="仿宋_GB2312"/>
          <w:color w:val="000000"/>
          <w:highlight w:val="none"/>
        </w:rPr>
      </w:pPr>
      <w:r>
        <w:rPr>
          <w:rFonts w:hint="eastAsia" w:ascii="仿宋_GB2312"/>
          <w:bCs/>
          <w:kern w:val="44"/>
          <w:szCs w:val="32"/>
          <w:highlight w:val="none"/>
        </w:rPr>
        <w:t>(八)使用非财政拨款结余：</w:t>
      </w:r>
      <w:r>
        <w:rPr>
          <w:rFonts w:ascii="仿宋_GB2312" w:hAnsi="仿宋_GB2312"/>
          <w:color w:val="000000"/>
          <w:highlight w:val="none"/>
        </w:rPr>
        <w:t>指事业单位</w:t>
      </w:r>
      <w:r>
        <w:rPr>
          <w:rFonts w:hint="eastAsia" w:ascii="仿宋_GB2312" w:hAnsi="仿宋_GB2312"/>
          <w:color w:val="000000"/>
          <w:highlight w:val="none"/>
        </w:rPr>
        <w:t>使用以前年度积累的非财政拨款结余弥补当年收支差额的金额。</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(九)年初结转和结余：</w:t>
      </w:r>
      <w:r>
        <w:rPr>
          <w:rFonts w:ascii="仿宋_GB2312" w:hAnsi="仿宋_GB2312"/>
          <w:color w:val="000000"/>
          <w:highlight w:val="none"/>
        </w:rPr>
        <w:t>指</w:t>
      </w:r>
      <w:r>
        <w:rPr>
          <w:rFonts w:hint="eastAsia" w:ascii="仿宋_GB2312" w:hAnsi="仿宋_GB2312"/>
          <w:color w:val="000000"/>
          <w:highlight w:val="none"/>
        </w:rPr>
        <w:t>单位</w:t>
      </w:r>
      <w:r>
        <w:rPr>
          <w:rFonts w:ascii="仿宋_GB2312" w:hAnsi="仿宋_GB2312"/>
          <w:color w:val="000000"/>
          <w:highlight w:val="none"/>
        </w:rPr>
        <w:t>以前年度</w:t>
      </w:r>
      <w:r>
        <w:rPr>
          <w:rFonts w:hint="eastAsia" w:ascii="仿宋_GB2312" w:hAnsi="仿宋_GB2312"/>
          <w:color w:val="000000"/>
          <w:highlight w:val="none"/>
        </w:rPr>
        <w:t>尚未完成</w:t>
      </w:r>
      <w:r>
        <w:rPr>
          <w:rFonts w:ascii="仿宋_GB2312" w:hAnsi="仿宋_GB2312"/>
          <w:color w:val="000000"/>
          <w:highlight w:val="none"/>
        </w:rPr>
        <w:t>、结转到本年仍按原规定用途继续使用的资金</w:t>
      </w:r>
      <w:r>
        <w:rPr>
          <w:rFonts w:hint="eastAsia" w:ascii="仿宋_GB2312" w:hAnsi="仿宋_GB2312"/>
          <w:color w:val="000000"/>
          <w:highlight w:val="none"/>
        </w:rPr>
        <w:t>，或项目已完成等产生的结余资金</w:t>
      </w:r>
      <w:r>
        <w:rPr>
          <w:rFonts w:ascii="仿宋_GB2312" w:hAnsi="仿宋_GB2312"/>
          <w:color w:val="000000"/>
          <w:highlight w:val="none"/>
        </w:rPr>
        <w:t>。</w:t>
      </w:r>
    </w:p>
    <w:p>
      <w:pPr>
        <w:adjustRightInd w:val="0"/>
        <w:snapToGrid w:val="0"/>
        <w:spacing w:line="360" w:lineRule="auto"/>
        <w:ind w:firstLine="640" w:firstLineChars="200"/>
        <w:rPr>
          <w:rFonts w:ascii="仿宋_GB2312"/>
          <w:bCs/>
          <w:color w:val="000000"/>
          <w:kern w:val="44"/>
          <w:szCs w:val="32"/>
          <w:highlight w:val="none"/>
        </w:rPr>
      </w:pPr>
      <w:r>
        <w:rPr>
          <w:rFonts w:hint="eastAsia" w:ascii="仿宋_GB2312"/>
          <w:bCs/>
          <w:color w:val="000000"/>
          <w:kern w:val="44"/>
          <w:szCs w:val="32"/>
          <w:highlight w:val="none"/>
        </w:rPr>
        <w:t>(十)本部门使用的支出功能分类科目(到项级)</w:t>
      </w:r>
    </w:p>
    <w:p>
      <w:pPr>
        <w:adjustRightInd w:val="0"/>
        <w:snapToGrid w:val="0"/>
        <w:spacing w:line="360" w:lineRule="auto"/>
        <w:ind w:firstLine="640" w:firstLineChars="200"/>
        <w:rPr>
          <w:rFonts w:ascii="仿宋_GB2312"/>
          <w:color w:val="000000"/>
          <w:szCs w:val="32"/>
          <w:highlight w:val="none"/>
        </w:rPr>
      </w:pPr>
      <w:r>
        <w:rPr>
          <w:rFonts w:hint="eastAsia" w:ascii="仿宋_GB2312"/>
          <w:bCs/>
          <w:color w:val="000000"/>
          <w:kern w:val="44"/>
          <w:szCs w:val="32"/>
          <w:highlight w:val="none"/>
        </w:rPr>
        <w:t>1.</w:t>
      </w:r>
      <w:r>
        <w:rPr>
          <w:rFonts w:hint="eastAsia" w:ascii="仿宋_GB2312"/>
          <w:color w:val="000000"/>
          <w:szCs w:val="32"/>
          <w:highlight w:val="none"/>
        </w:rPr>
        <w:t>公共安全支出(类)法院(款)行政运行(项)：反映行政单位（包括实行公务员管理的事业单位）的基本支出。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2.公共安全支出(类)法院(款)一般行政管理事务(项)：反映行政单位（包括实行公务员管理的事业单位）未单独设置项级科目的其他项目支出。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3.公共安全支出(类)法院(款)案件审判(项)：反映人民法院对刑事、民事、行政、涉外等案件审判活动的支出。</w:t>
      </w:r>
    </w:p>
    <w:p>
      <w:pPr>
        <w:adjustRightInd w:val="0"/>
        <w:snapToGrid w:val="0"/>
        <w:spacing w:line="360" w:lineRule="auto"/>
        <w:ind w:firstLine="640" w:firstLineChars="200"/>
        <w:rPr>
          <w:rFonts w:ascii="仿宋_GB2312"/>
          <w:color w:val="000000"/>
          <w:szCs w:val="32"/>
          <w:highlight w:val="none"/>
        </w:rPr>
      </w:pPr>
      <w:r>
        <w:rPr>
          <w:rFonts w:hint="eastAsia" w:ascii="仿宋_GB2312"/>
          <w:bCs/>
          <w:color w:val="000000"/>
          <w:kern w:val="44"/>
          <w:szCs w:val="32"/>
          <w:highlight w:val="none"/>
        </w:rPr>
        <w:t>4.</w:t>
      </w:r>
      <w:r>
        <w:rPr>
          <w:rFonts w:hint="eastAsia" w:ascii="仿宋_GB2312"/>
          <w:color w:val="000000"/>
          <w:szCs w:val="32"/>
          <w:highlight w:val="none"/>
        </w:rPr>
        <w:t>公共安全支出(类)法院(款)案件执行(项)：反映人民法院对刑事、民事、行政、涉外等案件执行活动和各种非诉讼执行活动的支出。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5. 公共安全支出(类)法院(款)“两庭”建设(项)：反映人民法院审判用房、人民法庭用房、刑场建设维修和设备购置，以及审判庭安全监控设备购置及运行管理等支出。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6. 公共安全支出(类)法院(款)其他法院支出(项)：反映除上述项目以外其他用于法院方面的支出。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7.社会保障和就业支出(类)行政事业单位养老支出(款)机关事业单位基本养老保险缴费支出(项)：反映机关事业单位实施养老保险制度由单位缴纳的基本养老保险费支出。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8.社会保障和就业支出(类)行政事业单位养老支出(款)机关事业单位职业年金缴费支出(项)：反映机关事业单位实施养老保险制度由单位实际缴纳的职业年金支出。</w:t>
      </w:r>
    </w:p>
    <w:p>
      <w:pPr>
        <w:adjustRightInd w:val="0"/>
        <w:snapToGrid w:val="0"/>
        <w:spacing w:line="360" w:lineRule="auto"/>
        <w:ind w:firstLine="640" w:firstLineChars="200"/>
        <w:rPr>
          <w:rFonts w:ascii="仿宋_GB2312"/>
          <w:color w:val="000000"/>
          <w:szCs w:val="32"/>
          <w:highlight w:val="none"/>
        </w:rPr>
      </w:pPr>
      <w:r>
        <w:rPr>
          <w:rFonts w:hint="eastAsia" w:ascii="仿宋_GB2312"/>
          <w:color w:val="000000"/>
          <w:szCs w:val="32"/>
          <w:highlight w:val="none"/>
        </w:rPr>
        <w:t>9.社会保障和就业支出(类)行政事业单位养老支出(款)其他行政事业单位养老支出(项)：反映除上述项目以外其他用于行政事业单位养老方面的支出。</w:t>
      </w:r>
    </w:p>
    <w:p>
      <w:pPr>
        <w:adjustRightInd w:val="0"/>
        <w:snapToGrid w:val="0"/>
        <w:spacing w:line="360" w:lineRule="auto"/>
        <w:ind w:firstLine="640" w:firstLineChars="200"/>
        <w:rPr>
          <w:rFonts w:ascii="仿宋_GB2312"/>
          <w:color w:val="000000"/>
          <w:szCs w:val="32"/>
          <w:highlight w:val="none"/>
        </w:rPr>
      </w:pPr>
      <w:r>
        <w:rPr>
          <w:rFonts w:hint="eastAsia" w:ascii="仿宋_GB2312"/>
          <w:bCs/>
          <w:color w:val="000000"/>
          <w:kern w:val="44"/>
          <w:szCs w:val="32"/>
          <w:highlight w:val="none"/>
        </w:rPr>
        <w:t>10.</w:t>
      </w:r>
      <w:r>
        <w:rPr>
          <w:rFonts w:hint="eastAsia" w:ascii="仿宋_GB2312"/>
          <w:color w:val="000000"/>
          <w:szCs w:val="32"/>
          <w:highlight w:val="none"/>
        </w:rPr>
        <w:t>卫生健康支出(类)行政事业单位医疗(款)其他行政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adjustRightInd w:val="0"/>
        <w:snapToGrid w:val="0"/>
        <w:spacing w:line="360" w:lineRule="auto"/>
        <w:ind w:firstLine="640" w:firstLineChars="200"/>
        <w:rPr>
          <w:rFonts w:ascii="仿宋_GB2312"/>
          <w:bCs/>
          <w:color w:val="000000"/>
          <w:kern w:val="44"/>
          <w:szCs w:val="32"/>
          <w:highlight w:val="none"/>
        </w:rPr>
      </w:pPr>
      <w:r>
        <w:rPr>
          <w:rFonts w:hint="eastAsia" w:ascii="仿宋_GB2312"/>
          <w:color w:val="000000"/>
          <w:szCs w:val="32"/>
          <w:highlight w:val="none"/>
        </w:rPr>
        <w:t>11.住房保障支出(类)住房改革支出(款)购房补贴(项)：反映按房改政策规定，行政事业单位向符合条件职工（含离休人员）、军队（含武警）向转役复原离退休人员发放的用于购买住房的补贴。</w:t>
      </w:r>
    </w:p>
    <w:p>
      <w:pPr>
        <w:adjustRightInd w:val="0"/>
        <w:snapToGrid w:val="0"/>
        <w:spacing w:line="360" w:lineRule="auto"/>
        <w:ind w:firstLine="640" w:firstLineChars="200"/>
        <w:rPr>
          <w:rFonts w:ascii="仿宋_GB2312"/>
          <w:bCs/>
          <w:color w:val="000000"/>
          <w:kern w:val="44"/>
          <w:szCs w:val="32"/>
          <w:highlight w:val="none"/>
        </w:rPr>
      </w:pPr>
      <w:r>
        <w:rPr>
          <w:rFonts w:hint="eastAsia" w:ascii="仿宋_GB2312"/>
          <w:bCs/>
          <w:color w:val="000000"/>
          <w:kern w:val="44"/>
          <w:szCs w:val="32"/>
          <w:highlight w:val="none"/>
        </w:rPr>
        <w:t xml:space="preserve"> (十一)结余分配：指事业单位按照会计制度规定缴纳的企业所得税、提取的专用结余以及转入非财政拨款结余的金额等。</w:t>
      </w:r>
    </w:p>
    <w:p>
      <w:pPr>
        <w:adjustRightInd w:val="0"/>
        <w:snapToGrid w:val="0"/>
        <w:spacing w:line="360" w:lineRule="auto"/>
        <w:ind w:firstLine="640" w:firstLineChars="200"/>
        <w:rPr>
          <w:szCs w:val="32"/>
          <w:highlight w:val="none"/>
        </w:rPr>
      </w:pPr>
      <w:r>
        <w:rPr>
          <w:rFonts w:hint="eastAsia" w:ascii="仿宋_GB2312"/>
          <w:bCs/>
          <w:kern w:val="44"/>
          <w:szCs w:val="32"/>
          <w:highlight w:val="none"/>
        </w:rPr>
        <w:t>(十二)年末结转和结余：指单位按有关规定结转到下年或以后年度继续使用的资金，或项目已完成等产生的结余资金。</w:t>
      </w:r>
    </w:p>
    <w:p>
      <w:pPr>
        <w:adjustRightInd w:val="0"/>
        <w:snapToGrid w:val="0"/>
        <w:spacing w:line="360" w:lineRule="auto"/>
        <w:ind w:firstLine="640" w:firstLineChars="200"/>
        <w:rPr>
          <w:rFonts w:ascii="仿宋_GB2312"/>
          <w:bCs/>
          <w:kern w:val="44"/>
          <w:szCs w:val="32"/>
          <w:highlight w:val="none"/>
        </w:rPr>
      </w:pPr>
      <w:r>
        <w:rPr>
          <w:rFonts w:hint="eastAsia" w:ascii="仿宋_GB2312"/>
          <w:bCs/>
          <w:kern w:val="44"/>
          <w:szCs w:val="32"/>
          <w:highlight w:val="none"/>
        </w:rPr>
        <w:t>(十三)基本支出：指为保障机构正常运转、完成日常工作任务而发生的</w:t>
      </w:r>
      <w:r>
        <w:rPr>
          <w:rFonts w:ascii="仿宋_GB2312"/>
          <w:bCs/>
          <w:kern w:val="44"/>
          <w:szCs w:val="32"/>
          <w:highlight w:val="none"/>
        </w:rPr>
        <w:t>人员支出和公用支出</w:t>
      </w:r>
      <w:r>
        <w:rPr>
          <w:rFonts w:hint="eastAsia" w:ascii="仿宋_GB2312"/>
          <w:bCs/>
          <w:kern w:val="44"/>
          <w:szCs w:val="32"/>
          <w:highlight w:val="none"/>
        </w:rPr>
        <w:t>。</w:t>
      </w:r>
    </w:p>
    <w:p>
      <w:pPr>
        <w:adjustRightInd w:val="0"/>
        <w:snapToGrid w:val="0"/>
        <w:spacing w:line="360" w:lineRule="auto"/>
        <w:ind w:firstLine="640" w:firstLineChars="200"/>
        <w:rPr>
          <w:rFonts w:ascii="仿宋_GB2312" w:hAnsi="仿宋_GB2312"/>
          <w:color w:val="000000"/>
          <w:highlight w:val="none"/>
        </w:rPr>
      </w:pPr>
      <w:r>
        <w:rPr>
          <w:rFonts w:hint="eastAsia" w:ascii="仿宋_GB2312" w:hAnsi="仿宋_GB2312"/>
          <w:color w:val="000000"/>
          <w:highlight w:val="none"/>
        </w:rPr>
        <w:t>(十四)项目支出：指在基本支出之外为完成特定行政任务或事业发展目标所发生的支出。</w:t>
      </w:r>
    </w:p>
    <w:p>
      <w:pPr>
        <w:adjustRightInd w:val="0"/>
        <w:snapToGrid w:val="0"/>
        <w:spacing w:line="360" w:lineRule="auto"/>
        <w:ind w:firstLine="640" w:firstLineChars="200"/>
        <w:rPr>
          <w:rFonts w:ascii="仿宋_GB2312"/>
          <w:bCs/>
          <w:kern w:val="44"/>
          <w:szCs w:val="32"/>
          <w:highlight w:val="none"/>
        </w:rPr>
      </w:pPr>
      <w:r>
        <w:rPr>
          <w:rFonts w:hint="eastAsia" w:ascii="仿宋_GB2312"/>
          <w:szCs w:val="32"/>
          <w:highlight w:val="none"/>
        </w:rPr>
        <w:t>(十五)</w:t>
      </w:r>
      <w:r>
        <w:rPr>
          <w:rFonts w:hint="eastAsia" w:ascii="仿宋_GB2312"/>
          <w:bCs/>
          <w:kern w:val="44"/>
          <w:szCs w:val="32"/>
          <w:highlight w:val="none"/>
        </w:rPr>
        <w:t>经营支出：指事业单位在专业活动及辅助活动之外开展非独立核算经营活动发生的支出。</w:t>
      </w:r>
    </w:p>
    <w:p>
      <w:pPr>
        <w:adjustRightInd w:val="0"/>
        <w:snapToGrid w:val="0"/>
        <w:spacing w:line="360" w:lineRule="auto"/>
        <w:ind w:firstLine="640" w:firstLineChars="200"/>
        <w:rPr>
          <w:rFonts w:ascii="仿宋_GB2312"/>
          <w:szCs w:val="32"/>
          <w:highlight w:val="none"/>
        </w:rPr>
      </w:pPr>
      <w:r>
        <w:rPr>
          <w:rFonts w:hint="eastAsia" w:ascii="仿宋_GB2312"/>
          <w:szCs w:val="32"/>
          <w:highlight w:val="none"/>
        </w:rPr>
        <w:t>(十六)“三公”经费：纳入财政一般公共预算管理的“三公”经费，是指</w:t>
      </w:r>
      <w:r>
        <w:rPr>
          <w:rFonts w:hint="eastAsia" w:ascii="仿宋_GB2312" w:hAnsi="仿宋" w:cs="仿宋"/>
          <w:szCs w:val="32"/>
          <w:highlight w:val="none"/>
        </w:rPr>
        <w:t>省级</w:t>
      </w:r>
      <w:r>
        <w:rPr>
          <w:rFonts w:hint="eastAsia" w:ascii="仿宋_GB2312"/>
          <w:szCs w:val="32"/>
          <w:highlight w:val="none"/>
        </w:rPr>
        <w:t>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snapToGrid w:val="0"/>
        <w:spacing w:line="360" w:lineRule="auto"/>
        <w:ind w:firstLine="640" w:firstLineChars="200"/>
        <w:rPr>
          <w:rFonts w:ascii="仿宋_GB2312"/>
          <w:szCs w:val="32"/>
          <w:highlight w:val="none"/>
        </w:rPr>
      </w:pPr>
      <w:r>
        <w:rPr>
          <w:rFonts w:hint="eastAsia" w:ascii="仿宋_GB2312"/>
          <w:szCs w:val="32"/>
          <w:highlight w:val="none"/>
        </w:rPr>
        <w:t>(十七)机关运行经费：指为保障行政单位（包括参照公务员法管理的事业单位）运行用于购买货物和服务的各项资金，</w:t>
      </w:r>
      <w:r>
        <w:rPr>
          <w:rFonts w:ascii="仿宋_GB2312"/>
          <w:szCs w:val="32"/>
          <w:highlight w:val="none"/>
        </w:rPr>
        <w:t>包括办公</w:t>
      </w:r>
      <w:r>
        <w:rPr>
          <w:rFonts w:hint="eastAsia" w:ascii="仿宋_GB2312"/>
          <w:szCs w:val="32"/>
          <w:highlight w:val="none"/>
        </w:rPr>
        <w:t>费、</w:t>
      </w:r>
      <w:r>
        <w:rPr>
          <w:rFonts w:ascii="仿宋_GB2312"/>
          <w:szCs w:val="32"/>
          <w:highlight w:val="none"/>
        </w:rPr>
        <w:t>印刷费、邮电费、差旅费、会议费、福利费、日常维修费、专用材料及一般设备购置费、办公用房水电费、</w:t>
      </w:r>
      <w:r>
        <w:rPr>
          <w:rFonts w:hint="eastAsia" w:ascii="仿宋_GB2312"/>
          <w:szCs w:val="32"/>
          <w:highlight w:val="none"/>
        </w:rPr>
        <w:t>办公用房取暖费、</w:t>
      </w:r>
      <w:r>
        <w:rPr>
          <w:rFonts w:ascii="仿宋_GB2312"/>
          <w:szCs w:val="32"/>
          <w:highlight w:val="none"/>
        </w:rPr>
        <w:t>办公用房物业管理费、公务用车运行维护费以及其他费用。</w:t>
      </w:r>
    </w:p>
    <w:p>
      <w:pPr>
        <w:pStyle w:val="21"/>
        <w:spacing w:before="0" w:after="0"/>
        <w:ind w:firstLine="630" w:firstLineChars="196"/>
        <w:jc w:val="left"/>
        <w:rPr>
          <w:rFonts w:hint="eastAsia" w:ascii="黑体" w:hAnsi="黑体" w:eastAsia="黑体"/>
          <w:highlight w:val="none"/>
        </w:rPr>
      </w:pPr>
      <w:bookmarkStart w:id="30" w:name="_Toc143592658"/>
      <w:r>
        <w:rPr>
          <w:rFonts w:hint="eastAsia" w:ascii="黑体" w:hAnsi="黑体" w:eastAsia="黑体"/>
          <w:highlight w:val="none"/>
        </w:rPr>
        <w:t>第六部分  附件</w:t>
      </w:r>
      <w:bookmarkEnd w:id="30"/>
    </w:p>
    <w:p>
      <w:pPr>
        <w:keepNext/>
        <w:keepLines/>
        <w:widowControl w:val="0"/>
        <w:wordWrap/>
        <w:adjustRightInd/>
        <w:snapToGrid/>
        <w:spacing w:line="600" w:lineRule="exact"/>
        <w:ind w:left="0" w:leftChars="0" w:right="0" w:firstLine="640" w:firstLineChars="200"/>
        <w:jc w:val="both"/>
        <w:textAlignment w:val="auto"/>
        <w:outlineLvl w:val="9"/>
        <w:rPr>
          <w:rFonts w:eastAsia="楷体_GB2312"/>
          <w:szCs w:val="32"/>
          <w:highlight w:val="none"/>
        </w:rPr>
      </w:pPr>
      <w:r>
        <w:rPr>
          <w:rFonts w:hint="eastAsia" w:eastAsia="楷体_GB2312"/>
          <w:szCs w:val="32"/>
          <w:highlight w:val="none"/>
          <w:lang w:val="en-US" w:eastAsia="zh-CN"/>
        </w:rPr>
        <w:t>1.</w:t>
      </w:r>
      <w:r>
        <w:rPr>
          <w:rFonts w:eastAsia="楷体_GB2312"/>
          <w:szCs w:val="32"/>
          <w:highlight w:val="none"/>
        </w:rPr>
        <w:t>《2022年度</w:t>
      </w:r>
      <w:r>
        <w:rPr>
          <w:rFonts w:hint="eastAsia" w:eastAsia="楷体_GB2312"/>
          <w:szCs w:val="32"/>
          <w:highlight w:val="none"/>
        </w:rPr>
        <w:t>湖北省咸宁市中级人民</w:t>
      </w:r>
      <w:r>
        <w:rPr>
          <w:rFonts w:eastAsia="楷体_GB2312"/>
          <w:szCs w:val="32"/>
          <w:highlight w:val="none"/>
        </w:rPr>
        <w:t>法院部门整体绩效自评表</w:t>
      </w:r>
      <w:r>
        <w:rPr>
          <w:rFonts w:hint="eastAsia" w:eastAsia="楷体_GB2312"/>
          <w:szCs w:val="32"/>
          <w:highlight w:val="none"/>
        </w:rPr>
        <w:t>》</w:t>
      </w:r>
      <w:bookmarkStart w:id="31" w:name="_Toc4581"/>
    </w:p>
    <w:p>
      <w:pPr>
        <w:widowControl w:val="0"/>
        <w:wordWrap/>
        <w:adjustRightInd/>
        <w:snapToGrid/>
        <w:spacing w:line="560" w:lineRule="exact"/>
        <w:ind w:left="0" w:leftChars="0" w:right="0" w:firstLine="640" w:firstLineChars="200"/>
        <w:jc w:val="both"/>
        <w:textAlignment w:val="auto"/>
        <w:outlineLvl w:val="9"/>
        <w:rPr>
          <w:rFonts w:eastAsia="楷体_GB2312"/>
          <w:szCs w:val="32"/>
          <w:highlight w:val="none"/>
        </w:rPr>
      </w:pPr>
      <w:r>
        <w:rPr>
          <w:rFonts w:hint="eastAsia" w:eastAsia="楷体_GB2312"/>
          <w:szCs w:val="32"/>
          <w:highlight w:val="none"/>
          <w:lang w:val="en-US" w:eastAsia="zh-CN"/>
        </w:rPr>
        <w:t>2.</w:t>
      </w:r>
      <w:r>
        <w:rPr>
          <w:rFonts w:eastAsia="楷体_GB2312"/>
          <w:szCs w:val="32"/>
          <w:highlight w:val="none"/>
        </w:rPr>
        <w:t>《202</w:t>
      </w:r>
      <w:r>
        <w:rPr>
          <w:rFonts w:hint="eastAsia" w:eastAsia="楷体_GB2312"/>
          <w:szCs w:val="32"/>
          <w:highlight w:val="none"/>
        </w:rPr>
        <w:t>2</w:t>
      </w:r>
      <w:r>
        <w:rPr>
          <w:rFonts w:eastAsia="楷体_GB2312"/>
          <w:szCs w:val="32"/>
          <w:highlight w:val="none"/>
        </w:rPr>
        <w:t>年度办案业务专项经费项目自评表》</w:t>
      </w:r>
    </w:p>
    <w:p>
      <w:pPr>
        <w:widowControl w:val="0"/>
        <w:wordWrap/>
        <w:adjustRightInd/>
        <w:snapToGrid/>
        <w:spacing w:line="560" w:lineRule="exact"/>
        <w:ind w:left="0" w:leftChars="0" w:right="0" w:firstLine="640" w:firstLineChars="200"/>
        <w:jc w:val="both"/>
        <w:textAlignment w:val="auto"/>
        <w:outlineLvl w:val="9"/>
        <w:rPr>
          <w:rFonts w:eastAsia="楷体_GB2312"/>
          <w:szCs w:val="32"/>
          <w:highlight w:val="none"/>
        </w:rPr>
        <w:sectPr>
          <w:footerReference r:id="rId4" w:type="default"/>
          <w:pgSz w:w="11906" w:h="16838"/>
          <w:pgMar w:top="1440" w:right="1800" w:bottom="1440" w:left="1800" w:header="851" w:footer="992" w:gutter="0"/>
          <w:cols w:space="720" w:num="1"/>
          <w:docGrid w:type="lines" w:linePitch="312" w:charSpace="0"/>
        </w:sectPr>
      </w:pPr>
      <w:r>
        <w:rPr>
          <w:rFonts w:hint="eastAsia" w:eastAsia="楷体_GB2312"/>
          <w:szCs w:val="32"/>
          <w:highlight w:val="none"/>
          <w:lang w:val="en-US" w:eastAsia="zh-CN"/>
        </w:rPr>
        <w:t>3.</w:t>
      </w:r>
      <w:r>
        <w:rPr>
          <w:rFonts w:eastAsia="楷体_GB2312"/>
          <w:szCs w:val="32"/>
          <w:highlight w:val="none"/>
        </w:rPr>
        <w:t>《2022年度信息化运维专项经费项目自评表》</w:t>
      </w:r>
    </w:p>
    <w:tbl>
      <w:tblPr>
        <w:tblStyle w:val="2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662"/>
        <w:gridCol w:w="784"/>
        <w:gridCol w:w="1190"/>
        <w:gridCol w:w="430"/>
        <w:gridCol w:w="156"/>
        <w:gridCol w:w="557"/>
        <w:gridCol w:w="457"/>
        <w:gridCol w:w="675"/>
        <w:gridCol w:w="162"/>
        <w:gridCol w:w="1038"/>
        <w:gridCol w:w="1155"/>
        <w:gridCol w:w="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36" w:type="dxa"/>
            <w:gridSpan w:val="13"/>
            <w:vAlign w:val="center"/>
          </w:tcPr>
          <w:p>
            <w:pPr>
              <w:widowControl/>
              <w:jc w:val="left"/>
              <w:textAlignment w:val="center"/>
              <w:rPr>
                <w:rFonts w:ascii="黑体" w:hAnsi="宋体" w:eastAsia="黑体" w:cs="黑体"/>
                <w:color w:val="000000"/>
                <w:sz w:val="28"/>
                <w:szCs w:val="28"/>
                <w:highlight w:val="none"/>
              </w:rPr>
            </w:pPr>
            <w:r>
              <w:rPr>
                <w:rFonts w:hint="eastAsia" w:ascii="黑体" w:hAnsi="宋体" w:eastAsia="黑体" w:cs="黑体"/>
                <w:color w:val="000000"/>
                <w:kern w:val="0"/>
                <w:sz w:val="28"/>
                <w:szCs w:val="28"/>
                <w:highlight w:val="none"/>
              </w:rPr>
              <w:t>附</w:t>
            </w:r>
            <w:bookmarkEnd w:id="31"/>
            <w:r>
              <w:rPr>
                <w:rFonts w:hint="eastAsia" w:ascii="黑体" w:hAnsi="宋体" w:eastAsia="黑体" w:cs="黑体"/>
                <w:color w:val="000000"/>
                <w:kern w:val="0"/>
                <w:sz w:val="28"/>
                <w:szCs w:val="28"/>
                <w:highlight w:val="none"/>
              </w:rPr>
              <w:t>件</w:t>
            </w:r>
            <w:r>
              <w:rPr>
                <w:rFonts w:hint="eastAsia" w:ascii="黑体" w:hAnsi="宋体" w:eastAsia="黑体" w:cs="黑体"/>
                <w:color w:val="000000"/>
                <w:kern w:val="0"/>
                <w:sz w:val="28"/>
                <w:szCs w:val="28"/>
                <w:highlight w:val="none"/>
                <w:lang w:val="en-US" w:eastAsia="zh-CN"/>
              </w:rPr>
              <w:t>1</w:t>
            </w:r>
            <w:r>
              <w:rPr>
                <w:rFonts w:hint="eastAsia" w:ascii="黑体" w:hAnsi="宋体" w:eastAsia="黑体" w:cs="黑体"/>
                <w:color w:val="000000"/>
                <w:kern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3"/>
            <w:vAlign w:val="center"/>
          </w:tcPr>
          <w:p>
            <w:pPr>
              <w:widowControl/>
              <w:jc w:val="center"/>
              <w:textAlignment w:val="center"/>
              <w:rPr>
                <w:rFonts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kern w:val="0"/>
                <w:sz w:val="36"/>
                <w:szCs w:val="36"/>
                <w:highlight w:val="none"/>
              </w:rPr>
              <w:t>2022年度咸宁市中级人民法院整体绩效自评表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814" w:type="dxa"/>
            <w:gridSpan w:val="6"/>
            <w:vAlign w:val="center"/>
          </w:tcPr>
          <w:p>
            <w:pPr>
              <w:rPr>
                <w:rFonts w:ascii="宋体" w:hAnsi="宋体" w:eastAsia="宋体" w:cs="宋体"/>
                <w:color w:val="000000"/>
                <w:sz w:val="20"/>
                <w:szCs w:val="20"/>
                <w:highlight w:val="none"/>
              </w:rPr>
            </w:pPr>
            <w:r>
              <w:rPr>
                <w:rFonts w:hint="eastAsia" w:ascii="楷体_GB2312" w:hAnsi="宋体" w:eastAsia="楷体_GB2312" w:cs="楷体_GB2312"/>
                <w:color w:val="000000"/>
                <w:kern w:val="0"/>
                <w:sz w:val="22"/>
                <w:highlight w:val="none"/>
              </w:rPr>
              <w:t xml:space="preserve">单位名称：咸宁市中级人民法院                 </w:t>
            </w:r>
          </w:p>
        </w:tc>
        <w:tc>
          <w:tcPr>
            <w:tcW w:w="557" w:type="dxa"/>
            <w:vAlign w:val="center"/>
          </w:tcPr>
          <w:p>
            <w:pPr>
              <w:rPr>
                <w:rFonts w:ascii="宋体" w:hAnsi="宋体" w:eastAsia="宋体" w:cs="宋体"/>
                <w:color w:val="000000"/>
                <w:sz w:val="20"/>
                <w:szCs w:val="20"/>
                <w:highlight w:val="none"/>
              </w:rPr>
            </w:pPr>
          </w:p>
        </w:tc>
        <w:tc>
          <w:tcPr>
            <w:tcW w:w="3965" w:type="dxa"/>
            <w:gridSpan w:val="6"/>
            <w:vAlign w:val="center"/>
          </w:tcPr>
          <w:p>
            <w:pPr>
              <w:widowControl/>
              <w:jc w:val="right"/>
              <w:textAlignment w:val="center"/>
              <w:rPr>
                <w:rFonts w:ascii="楷体_GB2312" w:hAnsi="宋体" w:eastAsia="楷体_GB2312" w:cs="楷体_GB2312"/>
                <w:color w:val="000000"/>
                <w:sz w:val="22"/>
                <w:highlight w:val="none"/>
              </w:rPr>
            </w:pPr>
            <w:r>
              <w:rPr>
                <w:rFonts w:hint="eastAsia" w:ascii="楷体_GB2312" w:hAnsi="宋体" w:eastAsia="楷体_GB2312" w:cs="楷体_GB2312"/>
                <w:color w:val="000000"/>
                <w:kern w:val="0"/>
                <w:sz w:val="22"/>
                <w:highlight w:val="none"/>
              </w:rPr>
              <w:t>填报日期：2023.05.25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单位名称</w:t>
            </w:r>
          </w:p>
        </w:tc>
        <w:tc>
          <w:tcPr>
            <w:tcW w:w="7082"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咸宁市中级人民法院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基本支出总额</w:t>
            </w:r>
          </w:p>
        </w:tc>
        <w:tc>
          <w:tcPr>
            <w:tcW w:w="19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4511.43万元</w:t>
            </w:r>
          </w:p>
        </w:tc>
        <w:tc>
          <w:tcPr>
            <w:tcW w:w="2437" w:type="dxa"/>
            <w:gridSpan w:val="6"/>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项目支出总额</w:t>
            </w:r>
          </w:p>
        </w:tc>
        <w:tc>
          <w:tcPr>
            <w:tcW w:w="26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942.51万元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 xml:space="preserve">年度目标： </w:t>
            </w:r>
          </w:p>
        </w:tc>
        <w:tc>
          <w:tcPr>
            <w:tcW w:w="7082"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2022年咸宁市中级人民法院将坚持“司法为民”“公正司法”工作主线。一是要提高政治站位，始终坚持党对人民法院工作的绝对领导；二是要深化改革创新，精准服务咸宁经济社会高质量发展；三是要提升审判质效，推进国家治理体系和治理能力现代化；四是要加大执行力度，健全完善解决执行难长效机制；五是要加强作风建设，努力建设人民满意的人民法院；六是要筑牢意识形态阵地，认真做好宣传思想工作。坚定以习近平法治思想为指引，依法履行职能，狠抓执法办案第一要务，恪尽公正司法第一责任，为促进全市经济持续健康发展和社会和谐稳定提供坚强有力的司法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年度绩效指标</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一级指标</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二级指标</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三级指标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指标分类</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指标权重</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年初目标值（A）</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实际完成值（B）</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运行成本</w:t>
            </w:r>
            <w:r>
              <w:rPr>
                <w:rFonts w:hint="eastAsia" w:ascii="仿宋_GB2312" w:hAnsi="宋体" w:cs="仿宋_GB2312"/>
                <w:color w:val="000000"/>
                <w:kern w:val="0"/>
                <w:sz w:val="21"/>
                <w:szCs w:val="21"/>
                <w:highlight w:val="none"/>
              </w:rPr>
              <w:br/>
            </w:r>
            <w:r>
              <w:rPr>
                <w:rFonts w:hint="eastAsia" w:ascii="仿宋_GB2312" w:hAnsi="宋体" w:cs="仿宋_GB2312"/>
                <w:color w:val="000000"/>
                <w:kern w:val="0"/>
                <w:sz w:val="21"/>
                <w:szCs w:val="21"/>
                <w:highlight w:val="none"/>
              </w:rPr>
              <w:t>（8）</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公用经费控制</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公用经费控制率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80.03%</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在职人员控制</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在职人员控制率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94.57%</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项目支出成本控制</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会议费控制率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匹配、相符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匹配、相符</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“三公经费”变动率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管理效率（22）</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战略管理</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中长期规划相符性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匹配、相符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匹配、相符</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工作计划健全性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明确、具体、可操作、匹配</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明确、具体、可操作、匹配</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预算编制</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预算编制科学性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真实、完整、准确、规范、充分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真实、完整、准确、规范、充分</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预算编制合理性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合理</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立项规范性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充分、规范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充分、规范</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预算调整率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预算执行</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预算执行率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100.000%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结转结余率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政府采购执行率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非税收入预算完成率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77.64%</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绩效管理</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事前绩效评估完成率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绩效目标合理性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合理</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绩效监控开展率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绩效评价覆盖率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评价结果应用率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应用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应用</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资产管理</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资产管理制度健全性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健全、完善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健全、完善</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资产管理规范性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规范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规范</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财务管理</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财务管理制度健全性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健全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健全</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会计核算规范性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规范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规范</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资金使用合规性</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合规</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履职效能</w:t>
            </w:r>
            <w:r>
              <w:rPr>
                <w:rFonts w:hint="eastAsia" w:ascii="仿宋_GB2312" w:hAnsi="宋体" w:cs="仿宋_GB2312"/>
                <w:color w:val="000000"/>
                <w:kern w:val="0"/>
                <w:sz w:val="21"/>
                <w:szCs w:val="21"/>
                <w:highlight w:val="none"/>
              </w:rPr>
              <w:br/>
            </w:r>
            <w:r>
              <w:rPr>
                <w:rFonts w:hint="eastAsia" w:ascii="仿宋_GB2312" w:hAnsi="宋体" w:cs="仿宋_GB2312"/>
                <w:color w:val="000000"/>
                <w:kern w:val="0"/>
                <w:sz w:val="21"/>
                <w:szCs w:val="21"/>
                <w:highlight w:val="none"/>
              </w:rPr>
              <w:t>（40）</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案件审判</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案件结案率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94.82%</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0"/>
                <w:szCs w:val="20"/>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一审案件服判息诉率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≥80%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55.28%</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0"/>
                <w:szCs w:val="20"/>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法定审限内结案率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案件执行</w:t>
            </w:r>
          </w:p>
        </w:tc>
        <w:tc>
          <w:tcPr>
            <w:tcW w:w="1620" w:type="dxa"/>
            <w:gridSpan w:val="2"/>
            <w:tcBorders>
              <w:top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执行案件执结率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≥80%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97.04%</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执行案件法定期限内结案率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95.61%</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案件调解</w:t>
            </w:r>
          </w:p>
        </w:tc>
        <w:tc>
          <w:tcPr>
            <w:tcW w:w="1620" w:type="dxa"/>
            <w:gridSpan w:val="2"/>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案件调解率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36.16%</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信访</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涉诉信访投诉率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普法宣传</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普法宣传活动开展次数</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 xml:space="preserve">28 </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司法公开</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审判流程信息公开率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95%</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基础建设运维</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信息系统运维保障及时率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社会效应（20）</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社会效益</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依法审理各类案件，保障当事人合法权益</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保障当事人合法权益</w:t>
            </w:r>
          </w:p>
        </w:tc>
        <w:tc>
          <w:tcPr>
            <w:tcW w:w="115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保障当事人合法权益</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维护社会大局安全稳定</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维护社会大局安全稳定</w:t>
            </w:r>
          </w:p>
        </w:tc>
        <w:tc>
          <w:tcPr>
            <w:tcW w:w="115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维护社会大局安全稳定</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经济效益</w:t>
            </w:r>
          </w:p>
        </w:tc>
        <w:tc>
          <w:tcPr>
            <w:tcW w:w="162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优化法制化营商环境</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优化法制化营商环境</w:t>
            </w:r>
          </w:p>
        </w:tc>
        <w:tc>
          <w:tcPr>
            <w:tcW w:w="1155"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优化法制化营商环境</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生态效益</w:t>
            </w:r>
          </w:p>
        </w:tc>
        <w:tc>
          <w:tcPr>
            <w:tcW w:w="1620"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生态环境司法保护</w:t>
            </w:r>
          </w:p>
        </w:tc>
        <w:tc>
          <w:tcPr>
            <w:tcW w:w="117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可持续发展能力</w:t>
            </w:r>
            <w:r>
              <w:rPr>
                <w:rFonts w:hint="eastAsia" w:ascii="仿宋_GB2312" w:hAnsi="宋体" w:cs="仿宋_GB2312"/>
                <w:color w:val="000000"/>
                <w:kern w:val="0"/>
                <w:sz w:val="21"/>
                <w:szCs w:val="21"/>
                <w:highlight w:val="none"/>
              </w:rPr>
              <w:br/>
            </w:r>
            <w:r>
              <w:rPr>
                <w:rFonts w:hint="eastAsia" w:ascii="仿宋_GB2312" w:hAnsi="宋体" w:cs="仿宋_GB2312"/>
                <w:color w:val="000000"/>
                <w:kern w:val="0"/>
                <w:sz w:val="21"/>
                <w:szCs w:val="21"/>
                <w:highlight w:val="none"/>
              </w:rPr>
              <w:t>（6）</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体制机制改革</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服务体制改革成效</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行政管理体制改革成效</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成效达到预期目标</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人才支撑</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业务学习与培训完成率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0.50%</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干部队伍体系建设规划情况</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0.50%</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科学合理、符合单位发展需求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科学合理、符合单位发展需求</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高学历、高层次人次储备率</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符合人才发展规划</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符合人才发展规划</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科技支撑</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信息化建设情况</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绩效创新型</w:t>
            </w:r>
          </w:p>
        </w:tc>
        <w:tc>
          <w:tcPr>
            <w:tcW w:w="675"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提升工作效率及管理效能</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提升工作效率及管理效能</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满意度</w:t>
            </w:r>
            <w:r>
              <w:rPr>
                <w:rFonts w:hint="eastAsia" w:ascii="仿宋_GB2312" w:hAnsi="宋体" w:cs="仿宋_GB2312"/>
                <w:color w:val="000000"/>
                <w:kern w:val="0"/>
                <w:sz w:val="21"/>
                <w:szCs w:val="21"/>
                <w:highlight w:val="none"/>
              </w:rPr>
              <w:br/>
            </w:r>
            <w:r>
              <w:rPr>
                <w:rFonts w:hint="eastAsia" w:ascii="仿宋_GB2312" w:hAnsi="宋体" w:cs="仿宋_GB2312"/>
                <w:color w:val="000000"/>
                <w:kern w:val="0"/>
                <w:sz w:val="21"/>
                <w:szCs w:val="21"/>
                <w:highlight w:val="none"/>
              </w:rPr>
              <w:t>（4）</w:t>
            </w:r>
          </w:p>
        </w:tc>
        <w:tc>
          <w:tcPr>
            <w:tcW w:w="784"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服务对象满意度</w:t>
            </w:r>
          </w:p>
        </w:tc>
        <w:tc>
          <w:tcPr>
            <w:tcW w:w="1620"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普法活动群众满意度</w:t>
            </w:r>
          </w:p>
        </w:tc>
        <w:tc>
          <w:tcPr>
            <w:tcW w:w="1170"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662"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cs="仿宋_GB2312"/>
                <w:color w:val="000000"/>
                <w:sz w:val="21"/>
                <w:szCs w:val="21"/>
                <w:highlight w:val="none"/>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联系部门满意度</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信息系统使用人员满意度</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绩效基本型</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100%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总分</w:t>
            </w:r>
          </w:p>
        </w:tc>
        <w:tc>
          <w:tcPr>
            <w:tcW w:w="7744"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5"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偏差大或目标未完成的原因</w:t>
            </w:r>
          </w:p>
        </w:tc>
        <w:tc>
          <w:tcPr>
            <w:tcW w:w="7082" w:type="dxa"/>
            <w:gridSpan w:val="11"/>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1.管理效率纬度指标中非税收入预算完成率未达标，原因是第四季度因原负责缴纳非税收入同志离职，管理衔接因素导致工作失误无人缴纳；</w:t>
            </w:r>
            <w:r>
              <w:rPr>
                <w:rFonts w:hint="eastAsia" w:ascii="仿宋_GB2312" w:hAnsi="宋体" w:cs="仿宋_GB2312"/>
                <w:color w:val="000000"/>
                <w:kern w:val="0"/>
                <w:sz w:val="21"/>
                <w:szCs w:val="21"/>
                <w:highlight w:val="none"/>
              </w:rPr>
              <w:br/>
            </w:r>
            <w:r>
              <w:rPr>
                <w:rFonts w:hint="eastAsia" w:ascii="仿宋_GB2312" w:hAnsi="宋体" w:cs="仿宋_GB2312"/>
                <w:color w:val="000000"/>
                <w:kern w:val="0"/>
                <w:sz w:val="21"/>
                <w:szCs w:val="21"/>
                <w:highlight w:val="none"/>
              </w:rPr>
              <w:t>2.履职效能纬度案件审判方面一审案件服判息诉率未达标，主要原因一是案件承办人自身业务水平还需要不断提高，二是随着受理案件的增加，人民群众维护自身权益的意识增强，上诉案件增加。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8"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改进措施及结果应用方案</w:t>
            </w:r>
          </w:p>
        </w:tc>
        <w:tc>
          <w:tcPr>
            <w:tcW w:w="7082"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下一步从三个方面改进：一是财务人员提高预算编制水平，掌握预算编制政策，科学合理预测、编制各项经费预算；二是案件承办人努力提高自身业务水平，尽可能以自身审判能力高水平让当事人信服；三是结合实际情况适当修改指标值，让指标值更加科学合理。</w:t>
            </w:r>
          </w:p>
        </w:tc>
      </w:tr>
    </w:tbl>
    <w:p>
      <w:pPr>
        <w:rPr>
          <w:highlight w:val="none"/>
        </w:rPr>
      </w:pPr>
    </w:p>
    <w:p>
      <w:pPr>
        <w:rPr>
          <w:rFonts w:eastAsia="方正小标宋简体"/>
          <w:bCs/>
          <w:sz w:val="28"/>
          <w:szCs w:val="28"/>
          <w:highlight w:val="none"/>
        </w:rPr>
      </w:pPr>
    </w:p>
    <w:p>
      <w:pPr>
        <w:rPr>
          <w:rFonts w:ascii="黑体" w:hAnsi="黑体" w:eastAsia="黑体" w:cs="黑体"/>
          <w:highlight w:val="none"/>
        </w:rPr>
      </w:pPr>
    </w:p>
    <w:p>
      <w:pPr>
        <w:keepNext/>
        <w:keepLines/>
        <w:spacing w:line="600" w:lineRule="exact"/>
        <w:rPr>
          <w:rFonts w:eastAsia="方正小标宋简体"/>
          <w:bCs/>
          <w:sz w:val="28"/>
          <w:szCs w:val="28"/>
          <w:highlight w:val="none"/>
        </w:rPr>
      </w:pPr>
      <w:r>
        <w:rPr>
          <w:rFonts w:hint="eastAsia" w:eastAsia="方正小标宋简体"/>
          <w:bCs/>
          <w:sz w:val="28"/>
          <w:szCs w:val="28"/>
          <w:highlight w:val="none"/>
        </w:rPr>
        <w:t>附件</w:t>
      </w:r>
      <w:r>
        <w:rPr>
          <w:rFonts w:hint="eastAsia" w:eastAsia="方正小标宋简体"/>
          <w:bCs/>
          <w:sz w:val="28"/>
          <w:szCs w:val="28"/>
          <w:highlight w:val="none"/>
          <w:lang w:val="en-US" w:eastAsia="zh-CN"/>
        </w:rPr>
        <w:t>2</w:t>
      </w:r>
      <w:r>
        <w:rPr>
          <w:rFonts w:hint="eastAsia" w:eastAsia="方正小标宋简体"/>
          <w:bCs/>
          <w:sz w:val="28"/>
          <w:szCs w:val="28"/>
          <w:highlight w:val="none"/>
        </w:rPr>
        <w:t>：</w:t>
      </w:r>
    </w:p>
    <w:p>
      <w:pPr>
        <w:keepNext/>
        <w:keepLines/>
        <w:spacing w:line="600" w:lineRule="exact"/>
        <w:rPr>
          <w:rFonts w:eastAsia="方正小标宋简体"/>
          <w:bCs/>
          <w:sz w:val="28"/>
          <w:szCs w:val="28"/>
          <w:highlight w:val="none"/>
        </w:rPr>
      </w:pPr>
    </w:p>
    <w:p>
      <w:pPr>
        <w:jc w:val="center"/>
        <w:rPr>
          <w:rFonts w:ascii="方正小标宋简体" w:hAnsi="宋体" w:eastAsia="方正小标宋简体" w:cs="方正小标宋简体"/>
          <w:sz w:val="36"/>
          <w:szCs w:val="36"/>
          <w:highlight w:val="none"/>
        </w:rPr>
      </w:pPr>
      <w:r>
        <w:rPr>
          <w:rFonts w:hint="eastAsia" w:ascii="方正小标宋简体" w:hAnsi="宋体" w:eastAsia="方正小标宋简体" w:cs="方正小标宋简体"/>
          <w:sz w:val="36"/>
          <w:szCs w:val="36"/>
          <w:highlight w:val="none"/>
        </w:rPr>
        <w:t>2022年度办案业务专项经费项目自评表</w:t>
      </w:r>
    </w:p>
    <w:p>
      <w:pPr>
        <w:jc w:val="center"/>
        <w:rPr>
          <w:rFonts w:ascii="方正小标宋简体" w:hAnsi="宋体" w:eastAsia="方正小标宋简体" w:cs="方正小标宋简体"/>
          <w:sz w:val="36"/>
          <w:szCs w:val="36"/>
          <w:highlight w:val="none"/>
        </w:rPr>
      </w:pPr>
    </w:p>
    <w:p>
      <w:pPr>
        <w:widowControl/>
        <w:jc w:val="left"/>
        <w:rPr>
          <w:rFonts w:ascii="楷体_GB2312" w:hAnsi="黑体" w:eastAsia="楷体_GB2312"/>
          <w:kern w:val="0"/>
          <w:sz w:val="48"/>
          <w:szCs w:val="48"/>
          <w:highlight w:val="none"/>
        </w:rPr>
      </w:pPr>
      <w:r>
        <w:rPr>
          <w:rFonts w:hint="eastAsia" w:ascii="楷体_GB2312" w:hAnsi="仿宋" w:eastAsia="楷体_GB2312" w:cs="楷体_GB2312"/>
          <w:kern w:val="0"/>
          <w:sz w:val="28"/>
          <w:szCs w:val="28"/>
          <w:highlight w:val="none"/>
        </w:rPr>
        <w:t>单位名称：咸宁市中级人民法院</w:t>
      </w:r>
      <w:r>
        <w:rPr>
          <w:rFonts w:ascii="楷体_GB2312" w:hAnsi="仿宋" w:eastAsia="楷体_GB2312" w:cs="楷体_GB2312"/>
          <w:kern w:val="0"/>
          <w:sz w:val="28"/>
          <w:szCs w:val="28"/>
          <w:highlight w:val="none"/>
        </w:rPr>
        <w:t xml:space="preserve">      </w:t>
      </w:r>
      <w:r>
        <w:rPr>
          <w:rFonts w:hint="eastAsia" w:ascii="楷体_GB2312" w:hAnsi="仿宋" w:eastAsia="楷体_GB2312" w:cs="楷体_GB2312"/>
          <w:kern w:val="0"/>
          <w:sz w:val="28"/>
          <w:szCs w:val="28"/>
          <w:highlight w:val="none"/>
        </w:rPr>
        <w:t>填报日期：2023年3月7日</w:t>
      </w:r>
    </w:p>
    <w:tbl>
      <w:tblPr>
        <w:tblStyle w:val="2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45"/>
        <w:gridCol w:w="450"/>
        <w:gridCol w:w="615"/>
        <w:gridCol w:w="1440"/>
        <w:gridCol w:w="168"/>
        <w:gridCol w:w="927"/>
        <w:gridCol w:w="1380"/>
        <w:gridCol w:w="245"/>
        <w:gridCol w:w="110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项目名称</w:t>
            </w:r>
          </w:p>
        </w:tc>
        <w:tc>
          <w:tcPr>
            <w:tcW w:w="7189" w:type="dxa"/>
            <w:gridSpan w:val="9"/>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咸宁市中级人民法院办案业务专项经费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主管部门</w:t>
            </w:r>
          </w:p>
        </w:tc>
        <w:tc>
          <w:tcPr>
            <w:tcW w:w="2673" w:type="dxa"/>
            <w:gridSpan w:val="4"/>
            <w:vAlign w:val="center"/>
          </w:tcPr>
          <w:p>
            <w:pPr>
              <w:widowControl/>
              <w:snapToGrid w:val="0"/>
              <w:ind w:firstLine="800" w:firstLineChars="250"/>
              <w:jc w:val="left"/>
              <w:rPr>
                <w:rFonts w:ascii="仿宋_GB2312" w:hAnsi="宋体"/>
                <w:kern w:val="0"/>
                <w:highlight w:val="none"/>
              </w:rPr>
            </w:pPr>
            <w:r>
              <w:rPr>
                <w:rFonts w:hint="eastAsia" w:ascii="仿宋_GB2312" w:hAnsi="宋体"/>
                <w:kern w:val="0"/>
                <w:highlight w:val="none"/>
              </w:rPr>
              <w:t>湖北省高级人民法院</w:t>
            </w:r>
          </w:p>
        </w:tc>
        <w:tc>
          <w:tcPr>
            <w:tcW w:w="2552" w:type="dxa"/>
            <w:gridSpan w:val="3"/>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项目实施单位</w:t>
            </w:r>
          </w:p>
        </w:tc>
        <w:tc>
          <w:tcPr>
            <w:tcW w:w="1964"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咸宁市中级人民法院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项目类别</w:t>
            </w:r>
          </w:p>
        </w:tc>
        <w:tc>
          <w:tcPr>
            <w:tcW w:w="7189" w:type="dxa"/>
            <w:gridSpan w:val="9"/>
            <w:vAlign w:val="center"/>
          </w:tcPr>
          <w:p>
            <w:pPr>
              <w:widowControl/>
              <w:snapToGrid w:val="0"/>
              <w:jc w:val="left"/>
              <w:rPr>
                <w:rFonts w:ascii="仿宋_GB2312" w:hAnsi="宋体"/>
                <w:kern w:val="0"/>
                <w:highlight w:val="none"/>
              </w:rPr>
            </w:pPr>
            <w:r>
              <w:rPr>
                <w:rFonts w:ascii="仿宋_GB2312" w:hAnsi="宋体" w:cs="仿宋_GB2312"/>
                <w:kern w:val="0"/>
                <w:highlight w:val="none"/>
              </w:rPr>
              <w:t>1</w:t>
            </w:r>
            <w:r>
              <w:rPr>
                <w:rFonts w:hint="eastAsia" w:ascii="仿宋_GB2312" w:hAnsi="宋体" w:cs="仿宋_GB2312"/>
                <w:kern w:val="0"/>
                <w:highlight w:val="none"/>
              </w:rPr>
              <w:t>、部门预算项目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、省直专项</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3</w:t>
            </w:r>
            <w:r>
              <w:rPr>
                <w:rFonts w:hint="eastAsia" w:ascii="仿宋_GB2312" w:hAnsi="宋体" w:cs="仿宋_GB2312"/>
                <w:kern w:val="0"/>
                <w:highlight w:val="none"/>
              </w:rPr>
              <w:t>、省对下转移支付项目</w:t>
            </w:r>
            <w:r>
              <w:rPr>
                <w:rFonts w:ascii="仿宋_GB2312" w:hAnsi="宋体" w:cs="仿宋_GB2312"/>
                <w:kern w:val="0"/>
                <w:highlight w:val="none"/>
              </w:rPr>
              <w:t xml:space="preserve"> </w:t>
            </w:r>
            <w:r>
              <w:rPr>
                <w:rFonts w:hint="eastAsia" w:ascii="仿宋_GB2312" w:hAnsi="宋体" w:cs="仿宋_GB2312"/>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项目属性</w:t>
            </w:r>
          </w:p>
        </w:tc>
        <w:tc>
          <w:tcPr>
            <w:tcW w:w="7189" w:type="dxa"/>
            <w:gridSpan w:val="9"/>
            <w:vAlign w:val="center"/>
          </w:tcPr>
          <w:p>
            <w:pPr>
              <w:widowControl/>
              <w:snapToGrid w:val="0"/>
              <w:jc w:val="left"/>
              <w:rPr>
                <w:rFonts w:ascii="仿宋_GB2312" w:hAnsi="宋体" w:cs="仿宋_GB2312"/>
                <w:kern w:val="0"/>
                <w:highlight w:val="none"/>
              </w:rPr>
            </w:pPr>
            <w:r>
              <w:rPr>
                <w:rFonts w:ascii="仿宋_GB2312" w:hAnsi="宋体" w:cs="仿宋_GB2312"/>
                <w:kern w:val="0"/>
                <w:highlight w:val="none"/>
              </w:rPr>
              <w:t>1</w:t>
            </w:r>
            <w:r>
              <w:rPr>
                <w:rFonts w:hint="eastAsia" w:ascii="仿宋_GB2312" w:hAnsi="宋体" w:cs="仿宋_GB2312"/>
                <w:kern w:val="0"/>
                <w:highlight w:val="none"/>
              </w:rPr>
              <w:t>、持续性项目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、新增性项目</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项目类型</w:t>
            </w:r>
          </w:p>
        </w:tc>
        <w:tc>
          <w:tcPr>
            <w:tcW w:w="7189" w:type="dxa"/>
            <w:gridSpan w:val="9"/>
            <w:vAlign w:val="center"/>
          </w:tcPr>
          <w:p>
            <w:pPr>
              <w:widowControl/>
              <w:snapToGrid w:val="0"/>
              <w:jc w:val="left"/>
              <w:rPr>
                <w:rFonts w:ascii="仿宋_GB2312" w:hAnsi="宋体"/>
                <w:kern w:val="0"/>
                <w:highlight w:val="none"/>
              </w:rPr>
            </w:pPr>
            <w:r>
              <w:rPr>
                <w:rFonts w:ascii="仿宋_GB2312" w:hAnsi="宋体" w:cs="仿宋_GB2312"/>
                <w:kern w:val="0"/>
                <w:highlight w:val="none"/>
              </w:rPr>
              <w:t>1</w:t>
            </w:r>
            <w:r>
              <w:rPr>
                <w:rFonts w:hint="eastAsia" w:ascii="仿宋_GB2312" w:hAnsi="宋体" w:cs="仿宋_GB2312"/>
                <w:kern w:val="0"/>
                <w:highlight w:val="none"/>
              </w:rPr>
              <w:t>、常年性项目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、延续性项目</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3</w:t>
            </w:r>
            <w:r>
              <w:rPr>
                <w:rFonts w:hint="eastAsia" w:ascii="仿宋_GB2312" w:hAnsi="宋体" w:cs="仿宋_GB2312"/>
                <w:kern w:val="0"/>
                <w:highlight w:val="none"/>
              </w:rPr>
              <w:t>、一次性项目</w:t>
            </w:r>
            <w:r>
              <w:rPr>
                <w:rFonts w:ascii="仿宋_GB2312" w:hAnsi="宋体" w:cs="仿宋_GB2312"/>
                <w:kern w:val="0"/>
                <w:highlight w:val="none"/>
              </w:rPr>
              <w:t xml:space="preserve"> </w:t>
            </w:r>
            <w:r>
              <w:rPr>
                <w:rFonts w:hint="eastAsia" w:ascii="仿宋_GB2312" w:hAnsi="宋体" w:cs="仿宋_GB2312"/>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759" w:type="dxa"/>
            <w:gridSpan w:val="2"/>
            <w:vMerge w:val="restart"/>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预算执行情况（万元）</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ascii="仿宋_GB2312" w:hAnsi="宋体" w:cs="仿宋_GB2312"/>
                <w:kern w:val="0"/>
                <w:highlight w:val="none"/>
              </w:rPr>
              <w:t>20</w:t>
            </w:r>
            <w:r>
              <w:rPr>
                <w:rFonts w:hint="eastAsia" w:ascii="仿宋_GB2312" w:hAnsi="宋体" w:cs="仿宋_GB2312"/>
                <w:kern w:val="0"/>
                <w:highlight w:val="none"/>
              </w:rPr>
              <w:t>分）</w:t>
            </w:r>
          </w:p>
        </w:tc>
        <w:tc>
          <w:tcPr>
            <w:tcW w:w="1065" w:type="dxa"/>
            <w:gridSpan w:val="2"/>
            <w:vAlign w:val="center"/>
          </w:tcPr>
          <w:p>
            <w:pPr>
              <w:widowControl/>
              <w:snapToGrid w:val="0"/>
              <w:jc w:val="center"/>
              <w:rPr>
                <w:rFonts w:ascii="仿宋_GB2312" w:hAnsi="宋体"/>
                <w:kern w:val="0"/>
                <w:highlight w:val="none"/>
              </w:rPr>
            </w:pPr>
          </w:p>
        </w:tc>
        <w:tc>
          <w:tcPr>
            <w:tcW w:w="1440"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预算数（</w:t>
            </w:r>
            <w:r>
              <w:rPr>
                <w:rFonts w:ascii="仿宋_GB2312" w:hAnsi="宋体" w:cs="仿宋_GB2312"/>
                <w:kern w:val="0"/>
                <w:highlight w:val="none"/>
              </w:rPr>
              <w:t>A）</w:t>
            </w:r>
          </w:p>
        </w:tc>
        <w:tc>
          <w:tcPr>
            <w:tcW w:w="1095"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执行数</w:t>
            </w:r>
            <w:r>
              <w:rPr>
                <w:rFonts w:ascii="仿宋_GB2312" w:hAnsi="宋体" w:cs="仿宋_GB2312"/>
                <w:kern w:val="0"/>
                <w:highlight w:val="none"/>
              </w:rPr>
              <w:t>（B）</w:t>
            </w:r>
          </w:p>
        </w:tc>
        <w:tc>
          <w:tcPr>
            <w:tcW w:w="1380"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执行率</w:t>
            </w:r>
            <w:r>
              <w:rPr>
                <w:rFonts w:ascii="仿宋_GB2312" w:hAnsi="宋体" w:cs="仿宋_GB2312"/>
                <w:kern w:val="0"/>
                <w:highlight w:val="none"/>
              </w:rPr>
              <w:t>（B/A）</w:t>
            </w:r>
          </w:p>
        </w:tc>
        <w:tc>
          <w:tcPr>
            <w:tcW w:w="2209" w:type="dxa"/>
            <w:gridSpan w:val="3"/>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得分</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ascii="仿宋_GB2312" w:hAnsi="宋体" w:cs="仿宋_GB2312"/>
                <w:kern w:val="0"/>
                <w:highlight w:val="none"/>
              </w:rPr>
              <w:t>20</w:t>
            </w:r>
            <w:r>
              <w:rPr>
                <w:rFonts w:hint="eastAsia" w:ascii="仿宋_GB2312" w:hAnsi="宋体" w:cs="仿宋_GB2312"/>
                <w:kern w:val="0"/>
                <w:highlight w:val="none"/>
              </w:rPr>
              <w:t>分</w:t>
            </w:r>
            <w:r>
              <w:rPr>
                <w:rFonts w:ascii="仿宋_GB2312" w:hAnsi="宋体" w:cs="仿宋_GB2312"/>
                <w:kern w:val="0"/>
                <w:highlight w:val="none"/>
              </w:rPr>
              <w:t>*</w:t>
            </w:r>
            <w:r>
              <w:rPr>
                <w:rFonts w:hint="eastAsia" w:ascii="仿宋_GB2312" w:hAnsi="宋体" w:cs="仿宋_GB2312"/>
                <w:kern w:val="0"/>
                <w:highlight w:val="none"/>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59" w:type="dxa"/>
            <w:gridSpan w:val="2"/>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年度财政资金总额</w:t>
            </w:r>
          </w:p>
        </w:tc>
        <w:tc>
          <w:tcPr>
            <w:tcW w:w="144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629.16</w:t>
            </w:r>
          </w:p>
        </w:tc>
        <w:tc>
          <w:tcPr>
            <w:tcW w:w="109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629.16</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c>
          <w:tcPr>
            <w:tcW w:w="2209"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4" w:type="dxa"/>
            <w:vMerge w:val="restart"/>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年度绩效目标</w:t>
            </w:r>
          </w:p>
          <w:p>
            <w:pPr>
              <w:widowControl/>
              <w:snapToGrid w:val="0"/>
              <w:jc w:val="center"/>
              <w:rPr>
                <w:rFonts w:ascii="仿宋_GB2312" w:hAnsi="宋体" w:cs="仿宋_GB2312"/>
                <w:kern w:val="0"/>
                <w:highlight w:val="none"/>
              </w:rPr>
            </w:pPr>
            <w:r>
              <w:rPr>
                <w:rFonts w:ascii="仿宋_GB2312" w:hAnsi="宋体" w:cs="仿宋_GB2312"/>
                <w:kern w:val="0"/>
                <w:highlight w:val="none"/>
              </w:rPr>
              <w:t>1</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hint="eastAsia" w:ascii="仿宋_GB2312" w:hAnsi="宋体" w:cs="仿宋_GB2312"/>
                <w:kern w:val="0"/>
                <w:sz w:val="20"/>
                <w:szCs w:val="20"/>
                <w:highlight w:val="none"/>
              </w:rPr>
              <w:t>80</w:t>
            </w:r>
            <w:r>
              <w:rPr>
                <w:rFonts w:hint="eastAsia" w:ascii="仿宋_GB2312" w:hAnsi="宋体" w:cs="仿宋_GB2312"/>
                <w:kern w:val="0"/>
                <w:highlight w:val="none"/>
              </w:rPr>
              <w:t>分）</w:t>
            </w:r>
          </w:p>
        </w:tc>
        <w:tc>
          <w:tcPr>
            <w:tcW w:w="945" w:type="dxa"/>
            <w:vAlign w:val="center"/>
          </w:tcPr>
          <w:p>
            <w:pPr>
              <w:snapToGrid w:val="0"/>
              <w:jc w:val="center"/>
              <w:rPr>
                <w:rFonts w:ascii="仿宋_GB2312" w:hAnsi="宋体"/>
                <w:kern w:val="0"/>
                <w:highlight w:val="none"/>
              </w:rPr>
            </w:pPr>
            <w:r>
              <w:rPr>
                <w:rFonts w:hint="eastAsia" w:ascii="仿宋_GB2312" w:hAnsi="宋体" w:cs="仿宋_GB2312"/>
                <w:kern w:val="0"/>
                <w:highlight w:val="none"/>
              </w:rPr>
              <w:t>一级指标</w:t>
            </w: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二级指标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三级指标</w:t>
            </w:r>
          </w:p>
        </w:tc>
        <w:tc>
          <w:tcPr>
            <w:tcW w:w="1380"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年初目标值（</w:t>
            </w:r>
            <w:r>
              <w:rPr>
                <w:rFonts w:ascii="仿宋_GB2312" w:hAnsi="宋体" w:cs="仿宋_GB2312"/>
                <w:kern w:val="0"/>
                <w:highlight w:val="none"/>
              </w:rPr>
              <w:t>A</w:t>
            </w:r>
            <w:r>
              <w:rPr>
                <w:rFonts w:hint="eastAsia" w:ascii="仿宋_GB2312" w:hAnsi="宋体" w:cs="仿宋_GB2312"/>
                <w:kern w:val="0"/>
                <w:highlight w:val="none"/>
              </w:rPr>
              <w:t>）</w:t>
            </w:r>
          </w:p>
        </w:tc>
        <w:tc>
          <w:tcPr>
            <w:tcW w:w="1350"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实际完成值（</w:t>
            </w:r>
            <w:r>
              <w:rPr>
                <w:rFonts w:ascii="仿宋_GB2312" w:hAnsi="宋体" w:cs="仿宋_GB2312"/>
                <w:kern w:val="0"/>
                <w:highlight w:val="none"/>
              </w:rPr>
              <w:t>B</w:t>
            </w:r>
            <w:r>
              <w:rPr>
                <w:rFonts w:hint="eastAsia" w:ascii="仿宋_GB2312" w:hAnsi="宋体" w:cs="仿宋_GB2312"/>
                <w:kern w:val="0"/>
                <w:highlight w:val="none"/>
              </w:rPr>
              <w:t>）</w:t>
            </w:r>
          </w:p>
        </w:tc>
        <w:tc>
          <w:tcPr>
            <w:tcW w:w="859"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snapToGrid w:val="0"/>
              <w:jc w:val="center"/>
              <w:rPr>
                <w:rFonts w:ascii="仿宋_GB2312" w:hAnsi="宋体"/>
                <w:kern w:val="0"/>
                <w:highlight w:val="none"/>
              </w:rPr>
            </w:pPr>
          </w:p>
        </w:tc>
        <w:tc>
          <w:tcPr>
            <w:tcW w:w="945" w:type="dxa"/>
            <w:vMerge w:val="restart"/>
            <w:vAlign w:val="center"/>
          </w:tcPr>
          <w:p>
            <w:pPr>
              <w:snapToGrid w:val="0"/>
              <w:jc w:val="center"/>
              <w:rPr>
                <w:rFonts w:ascii="仿宋_GB2312" w:hAnsi="宋体"/>
                <w:kern w:val="0"/>
                <w:highlight w:val="none"/>
              </w:rPr>
            </w:pPr>
            <w:r>
              <w:rPr>
                <w:rFonts w:hint="eastAsia" w:ascii="仿宋_GB2312" w:hAnsi="宋体" w:cs="仿宋_GB2312"/>
                <w:kern w:val="0"/>
                <w:highlight w:val="none"/>
              </w:rPr>
              <w:t>产出指标</w:t>
            </w: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数量指标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案件立案率</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95%</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snapToGrid w:val="0"/>
              <w:jc w:val="center"/>
              <w:rPr>
                <w:rFonts w:ascii="仿宋_GB2312" w:hAnsi="宋体"/>
                <w:kern w:val="0"/>
                <w:highlight w:val="none"/>
              </w:rPr>
            </w:pPr>
          </w:p>
        </w:tc>
        <w:tc>
          <w:tcPr>
            <w:tcW w:w="945" w:type="dxa"/>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质量指标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减少发回重审案件</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0.2%</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snapToGrid w:val="0"/>
              <w:jc w:val="center"/>
              <w:rPr>
                <w:rFonts w:ascii="仿宋_GB2312" w:hAnsi="宋体"/>
                <w:kern w:val="0"/>
                <w:highlight w:val="none"/>
              </w:rPr>
            </w:pPr>
          </w:p>
        </w:tc>
        <w:tc>
          <w:tcPr>
            <w:tcW w:w="945" w:type="dxa"/>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成本指标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项目成本控制率</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不超预算</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不超预算</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snapToGrid w:val="0"/>
              <w:jc w:val="center"/>
              <w:rPr>
                <w:rFonts w:ascii="仿宋_GB2312" w:hAnsi="宋体"/>
                <w:kern w:val="0"/>
                <w:highlight w:val="none"/>
              </w:rPr>
            </w:pPr>
          </w:p>
        </w:tc>
        <w:tc>
          <w:tcPr>
            <w:tcW w:w="945" w:type="dxa"/>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时效指标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审限内完成</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无超审案件</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无超审案件</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widowControl/>
              <w:snapToGrid w:val="0"/>
              <w:jc w:val="center"/>
              <w:rPr>
                <w:rFonts w:ascii="仿宋_GB2312" w:hAnsi="宋体"/>
                <w:kern w:val="0"/>
                <w:highlight w:val="none"/>
              </w:rPr>
            </w:pPr>
          </w:p>
        </w:tc>
        <w:tc>
          <w:tcPr>
            <w:tcW w:w="945" w:type="dxa"/>
            <w:vMerge w:val="restart"/>
            <w:vAlign w:val="center"/>
          </w:tcPr>
          <w:p>
            <w:pPr>
              <w:snapToGrid w:val="0"/>
              <w:jc w:val="center"/>
              <w:rPr>
                <w:rFonts w:ascii="仿宋_GB2312" w:hAnsi="宋体"/>
                <w:kern w:val="0"/>
                <w:highlight w:val="none"/>
              </w:rPr>
            </w:pPr>
            <w:r>
              <w:rPr>
                <w:rFonts w:hint="eastAsia" w:ascii="仿宋_GB2312" w:hAnsi="宋体" w:cs="仿宋_GB2312"/>
                <w:kern w:val="0"/>
                <w:highlight w:val="none"/>
              </w:rPr>
              <w:t>效益指标</w:t>
            </w: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社会效益指标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保障当事人合法权益</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保障</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保障</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Merge w:val="continue"/>
            <w:vAlign w:val="center"/>
          </w:tcPr>
          <w:p>
            <w:pPr>
              <w:widowControl/>
              <w:snapToGrid w:val="0"/>
              <w:jc w:val="center"/>
              <w:rPr>
                <w:rFonts w:ascii="仿宋_GB2312" w:hAnsi="宋体"/>
                <w:kern w:val="0"/>
                <w:highlight w:val="none"/>
              </w:rPr>
            </w:pPr>
          </w:p>
        </w:tc>
        <w:tc>
          <w:tcPr>
            <w:tcW w:w="945" w:type="dxa"/>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社会效益指标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促进经济发展</w:t>
            </w:r>
          </w:p>
          <w:p>
            <w:pPr>
              <w:widowControl/>
              <w:snapToGrid w:val="0"/>
              <w:jc w:val="center"/>
              <w:rPr>
                <w:rFonts w:ascii="仿宋_GB2312" w:hAnsi="宋体"/>
                <w:kern w:val="0"/>
                <w:highlight w:val="none"/>
              </w:rPr>
            </w:pPr>
            <w:r>
              <w:rPr>
                <w:rFonts w:hint="eastAsia" w:ascii="仿宋_GB2312" w:hAnsi="宋体"/>
                <w:kern w:val="0"/>
                <w:highlight w:val="none"/>
              </w:rPr>
              <w:t>社会和谐稳定</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促进</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促进</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4" w:type="dxa"/>
            <w:vMerge w:val="continue"/>
            <w:vAlign w:val="center"/>
          </w:tcPr>
          <w:p>
            <w:pPr>
              <w:widowControl/>
              <w:snapToGrid w:val="0"/>
              <w:jc w:val="center"/>
              <w:rPr>
                <w:rFonts w:ascii="仿宋_GB2312" w:hAnsi="宋体"/>
                <w:kern w:val="0"/>
                <w:highlight w:val="none"/>
              </w:rPr>
            </w:pPr>
          </w:p>
        </w:tc>
        <w:tc>
          <w:tcPr>
            <w:tcW w:w="945" w:type="dxa"/>
            <w:vMerge w:val="continue"/>
            <w:vAlign w:val="center"/>
          </w:tcPr>
          <w:p>
            <w:pPr>
              <w:widowControl/>
              <w:snapToGrid w:val="0"/>
              <w:jc w:val="center"/>
              <w:rPr>
                <w:rFonts w:ascii="仿宋_GB2312" w:hAnsi="宋体"/>
                <w:kern w:val="0"/>
                <w:highlight w:val="none"/>
              </w:rPr>
            </w:pPr>
          </w:p>
        </w:tc>
        <w:tc>
          <w:tcPr>
            <w:tcW w:w="1065"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社会效益指标</w:t>
            </w:r>
          </w:p>
        </w:tc>
        <w:tc>
          <w:tcPr>
            <w:tcW w:w="2535" w:type="dxa"/>
            <w:gridSpan w:val="3"/>
            <w:vAlign w:val="center"/>
          </w:tcPr>
          <w:p>
            <w:pPr>
              <w:widowControl/>
              <w:snapToGrid w:val="0"/>
              <w:jc w:val="center"/>
              <w:rPr>
                <w:rFonts w:ascii="仿宋_GB2312" w:hAnsi="宋体"/>
                <w:kern w:val="0"/>
                <w:highlight w:val="none"/>
              </w:rPr>
            </w:pPr>
            <w:r>
              <w:rPr>
                <w:rFonts w:hint="eastAsia" w:ascii="仿宋_GB2312" w:hAnsi="宋体"/>
                <w:kern w:val="0"/>
                <w:highlight w:val="none"/>
              </w:rPr>
              <w:t>裁判文书上网率</w:t>
            </w:r>
          </w:p>
        </w:tc>
        <w:tc>
          <w:tcPr>
            <w:tcW w:w="1380"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≥80%</w:t>
            </w:r>
          </w:p>
        </w:tc>
        <w:tc>
          <w:tcPr>
            <w:tcW w:w="1350"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≥80%</w:t>
            </w:r>
          </w:p>
        </w:tc>
        <w:tc>
          <w:tcPr>
            <w:tcW w:w="85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4"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总分</w:t>
            </w:r>
          </w:p>
        </w:tc>
        <w:tc>
          <w:tcPr>
            <w:tcW w:w="8134" w:type="dxa"/>
            <w:gridSpan w:val="10"/>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2209" w:type="dxa"/>
            <w:gridSpan w:val="3"/>
            <w:vAlign w:val="center"/>
          </w:tcPr>
          <w:p>
            <w:pPr>
              <w:widowControl/>
              <w:jc w:val="center"/>
              <w:rPr>
                <w:rFonts w:ascii="仿宋_GB2312" w:hAnsi="宋体"/>
                <w:kern w:val="0"/>
                <w:highlight w:val="none"/>
              </w:rPr>
            </w:pPr>
            <w:r>
              <w:rPr>
                <w:rFonts w:hint="eastAsia" w:ascii="仿宋_GB2312" w:hAnsi="宋体" w:cs="仿宋_GB2312"/>
                <w:kern w:val="0"/>
                <w:highlight w:val="none"/>
              </w:rPr>
              <w:t>偏差大或</w:t>
            </w:r>
          </w:p>
          <w:p>
            <w:pPr>
              <w:widowControl/>
              <w:jc w:val="center"/>
              <w:rPr>
                <w:rFonts w:ascii="仿宋_GB2312" w:hAnsi="宋体"/>
                <w:kern w:val="0"/>
                <w:highlight w:val="none"/>
              </w:rPr>
            </w:pPr>
            <w:r>
              <w:rPr>
                <w:rFonts w:hint="eastAsia" w:ascii="仿宋_GB2312" w:hAnsi="宋体" w:cs="仿宋_GB2312"/>
                <w:kern w:val="0"/>
                <w:highlight w:val="none"/>
              </w:rPr>
              <w:t>目标未完成</w:t>
            </w:r>
          </w:p>
          <w:p>
            <w:pPr>
              <w:widowControl/>
              <w:jc w:val="center"/>
              <w:rPr>
                <w:rFonts w:ascii="仿宋_GB2312" w:hAnsi="宋体"/>
                <w:kern w:val="0"/>
                <w:highlight w:val="none"/>
              </w:rPr>
            </w:pPr>
            <w:r>
              <w:rPr>
                <w:rFonts w:hint="eastAsia" w:ascii="仿宋_GB2312" w:hAnsi="宋体" w:cs="仿宋_GB2312"/>
                <w:kern w:val="0"/>
                <w:highlight w:val="none"/>
              </w:rPr>
              <w:t>原因分析</w:t>
            </w:r>
          </w:p>
        </w:tc>
        <w:tc>
          <w:tcPr>
            <w:tcW w:w="6739" w:type="dxa"/>
            <w:gridSpan w:val="8"/>
            <w:vAlign w:val="center"/>
          </w:tcPr>
          <w:p>
            <w:pPr>
              <w:ind w:firstLine="640" w:firstLineChars="200"/>
              <w:rPr>
                <w:rFonts w:ascii="仿宋" w:hAnsi="仿宋" w:eastAsia="仿宋" w:cs="仿宋_GB2312"/>
                <w:szCs w:val="32"/>
                <w:highlight w:val="none"/>
              </w:rPr>
            </w:pPr>
            <w:r>
              <w:rPr>
                <w:rFonts w:hint="eastAsia" w:ascii="仿宋_GB2312" w:hAnsi="宋体" w:cs="仿宋_GB2312"/>
                <w:kern w:val="0"/>
                <w:highlight w:val="none"/>
              </w:rPr>
              <w:t>办案业务专项经费项目绩效目标设置基本符合法院实际。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2209" w:type="dxa"/>
            <w:gridSpan w:val="3"/>
            <w:vAlign w:val="center"/>
          </w:tcPr>
          <w:p>
            <w:pPr>
              <w:widowControl/>
              <w:jc w:val="center"/>
              <w:rPr>
                <w:rFonts w:ascii="仿宋_GB2312" w:hAnsi="宋体"/>
                <w:kern w:val="0"/>
                <w:highlight w:val="none"/>
              </w:rPr>
            </w:pPr>
            <w:r>
              <w:rPr>
                <w:rFonts w:hint="eastAsia" w:ascii="仿宋_GB2312" w:hAnsi="宋体" w:cs="仿宋_GB2312"/>
                <w:kern w:val="0"/>
                <w:highlight w:val="none"/>
              </w:rPr>
              <w:t>改进措施及</w:t>
            </w:r>
          </w:p>
          <w:p>
            <w:pPr>
              <w:widowControl/>
              <w:jc w:val="center"/>
              <w:rPr>
                <w:rFonts w:ascii="仿宋_GB2312" w:hAnsi="宋体"/>
                <w:kern w:val="0"/>
                <w:highlight w:val="none"/>
              </w:rPr>
            </w:pPr>
            <w:r>
              <w:rPr>
                <w:rFonts w:hint="eastAsia" w:ascii="仿宋_GB2312" w:hAnsi="宋体" w:cs="仿宋_GB2312"/>
                <w:kern w:val="0"/>
                <w:highlight w:val="none"/>
              </w:rPr>
              <w:t>结果应用方案</w:t>
            </w:r>
          </w:p>
        </w:tc>
        <w:tc>
          <w:tcPr>
            <w:tcW w:w="6739" w:type="dxa"/>
            <w:gridSpan w:val="8"/>
            <w:vAlign w:val="center"/>
          </w:tcPr>
          <w:p>
            <w:pPr>
              <w:widowControl/>
              <w:ind w:firstLine="640" w:firstLineChars="200"/>
              <w:jc w:val="left"/>
              <w:rPr>
                <w:rFonts w:ascii="仿宋_GB2312" w:hAnsi="宋体" w:cs="仿宋_GB2312"/>
                <w:kern w:val="0"/>
                <w:highlight w:val="none"/>
              </w:rPr>
            </w:pPr>
            <w:r>
              <w:rPr>
                <w:rFonts w:hint="eastAsia" w:ascii="仿宋_GB2312" w:hAnsi="宋体" w:cs="仿宋_GB2312"/>
                <w:kern w:val="0"/>
                <w:highlight w:val="none"/>
              </w:rPr>
              <w:t>结合实际情况适当修改指标值，让指标值更加科学合理。</w:t>
            </w:r>
          </w:p>
        </w:tc>
      </w:tr>
    </w:tbl>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ind w:firstLine="640" w:firstLineChars="200"/>
        <w:rPr>
          <w:rFonts w:ascii="黑体" w:hAnsi="黑体" w:eastAsia="黑体" w:cs="黑体"/>
          <w:highlight w:val="none"/>
        </w:rPr>
      </w:pPr>
    </w:p>
    <w:p>
      <w:pPr>
        <w:spacing w:line="560" w:lineRule="exact"/>
        <w:rPr>
          <w:szCs w:val="32"/>
          <w:highlight w:val="none"/>
        </w:rPr>
      </w:pPr>
      <w:r>
        <w:rPr>
          <w:szCs w:val="32"/>
          <w:highlight w:val="none"/>
        </w:rPr>
        <w:t>附件</w:t>
      </w:r>
      <w:r>
        <w:rPr>
          <w:rFonts w:hint="eastAsia"/>
          <w:szCs w:val="32"/>
          <w:highlight w:val="none"/>
          <w:lang w:val="en-US" w:eastAsia="zh-CN"/>
        </w:rPr>
        <w:t>3</w:t>
      </w:r>
      <w:r>
        <w:rPr>
          <w:szCs w:val="32"/>
          <w:highlight w:val="none"/>
        </w:rPr>
        <w:t>：</w:t>
      </w:r>
    </w:p>
    <w:p>
      <w:pPr>
        <w:jc w:val="center"/>
        <w:rPr>
          <w:rFonts w:ascii="方正小标宋简体" w:hAnsi="宋体" w:eastAsia="方正小标宋简体" w:cs="方正小标宋简体"/>
          <w:sz w:val="36"/>
          <w:szCs w:val="36"/>
          <w:highlight w:val="none"/>
        </w:rPr>
      </w:pPr>
    </w:p>
    <w:p>
      <w:pPr>
        <w:jc w:val="center"/>
        <w:rPr>
          <w:highlight w:val="none"/>
        </w:rPr>
      </w:pPr>
      <w:r>
        <w:rPr>
          <w:rFonts w:hint="eastAsia" w:ascii="方正小标宋简体" w:hAnsi="宋体" w:eastAsia="方正小标宋简体" w:cs="方正小标宋简体"/>
          <w:sz w:val="36"/>
          <w:szCs w:val="36"/>
          <w:highlight w:val="none"/>
        </w:rPr>
        <w:t>2022年度信息化运维专项经费项目自评表</w:t>
      </w:r>
    </w:p>
    <w:p>
      <w:pPr>
        <w:widowControl/>
        <w:jc w:val="left"/>
        <w:rPr>
          <w:rFonts w:ascii="楷体_GB2312" w:hAnsi="黑体" w:eastAsia="楷体_GB2312"/>
          <w:kern w:val="0"/>
          <w:sz w:val="48"/>
          <w:szCs w:val="48"/>
          <w:highlight w:val="none"/>
        </w:rPr>
      </w:pPr>
      <w:r>
        <w:rPr>
          <w:rFonts w:hint="eastAsia" w:ascii="楷体_GB2312" w:hAnsi="仿宋" w:eastAsia="楷体_GB2312" w:cs="楷体_GB2312"/>
          <w:kern w:val="0"/>
          <w:sz w:val="28"/>
          <w:szCs w:val="28"/>
          <w:highlight w:val="none"/>
        </w:rPr>
        <w:t>单位名称：咸宁市中级人民法院</w:t>
      </w:r>
      <w:r>
        <w:rPr>
          <w:rFonts w:ascii="楷体_GB2312" w:hAnsi="仿宋" w:eastAsia="楷体_GB2312" w:cs="楷体_GB2312"/>
          <w:kern w:val="0"/>
          <w:sz w:val="28"/>
          <w:szCs w:val="28"/>
          <w:highlight w:val="none"/>
        </w:rPr>
        <w:t xml:space="preserve">      </w:t>
      </w:r>
      <w:r>
        <w:rPr>
          <w:rFonts w:hint="eastAsia" w:ascii="楷体_GB2312" w:hAnsi="仿宋" w:eastAsia="楷体_GB2312" w:cs="楷体_GB2312"/>
          <w:kern w:val="0"/>
          <w:sz w:val="28"/>
          <w:szCs w:val="28"/>
          <w:highlight w:val="none"/>
        </w:rPr>
        <w:t>填报日期：2023年3月7日</w:t>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199"/>
        <w:gridCol w:w="1053"/>
        <w:gridCol w:w="147"/>
        <w:gridCol w:w="1087"/>
        <w:gridCol w:w="1318"/>
        <w:gridCol w:w="137"/>
        <w:gridCol w:w="1085"/>
        <w:gridCol w:w="74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项目名称</w:t>
            </w:r>
          </w:p>
        </w:tc>
        <w:tc>
          <w:tcPr>
            <w:tcW w:w="6768" w:type="dxa"/>
            <w:gridSpan w:val="8"/>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咸宁市中级人民法院信息化运维专项经费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主管部门</w:t>
            </w:r>
          </w:p>
        </w:tc>
        <w:tc>
          <w:tcPr>
            <w:tcW w:w="2399" w:type="dxa"/>
            <w:gridSpan w:val="3"/>
            <w:vAlign w:val="center"/>
          </w:tcPr>
          <w:p>
            <w:pPr>
              <w:widowControl/>
              <w:snapToGrid w:val="0"/>
              <w:jc w:val="left"/>
              <w:rPr>
                <w:rFonts w:ascii="仿宋_GB2312" w:hAnsi="宋体"/>
                <w:kern w:val="0"/>
                <w:highlight w:val="none"/>
              </w:rPr>
            </w:pPr>
            <w:r>
              <w:rPr>
                <w:rFonts w:hint="eastAsia" w:ascii="仿宋_GB2312" w:hAnsi="宋体"/>
                <w:kern w:val="0"/>
                <w:highlight w:val="none"/>
              </w:rPr>
              <w:t>湖北省高级人民法院</w:t>
            </w:r>
          </w:p>
        </w:tc>
        <w:tc>
          <w:tcPr>
            <w:tcW w:w="2405"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项目实施单位</w:t>
            </w:r>
          </w:p>
        </w:tc>
        <w:tc>
          <w:tcPr>
            <w:tcW w:w="1964" w:type="dxa"/>
            <w:gridSpan w:val="3"/>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咸宁市中级人民法院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项目类别</w:t>
            </w:r>
          </w:p>
        </w:tc>
        <w:tc>
          <w:tcPr>
            <w:tcW w:w="6768" w:type="dxa"/>
            <w:gridSpan w:val="8"/>
            <w:vAlign w:val="center"/>
          </w:tcPr>
          <w:p>
            <w:pPr>
              <w:widowControl/>
              <w:snapToGrid w:val="0"/>
              <w:jc w:val="left"/>
              <w:rPr>
                <w:rFonts w:ascii="仿宋_GB2312" w:hAnsi="宋体"/>
                <w:kern w:val="0"/>
                <w:highlight w:val="none"/>
              </w:rPr>
            </w:pPr>
            <w:r>
              <w:rPr>
                <w:rFonts w:ascii="仿宋_GB2312" w:hAnsi="宋体" w:cs="仿宋_GB2312"/>
                <w:kern w:val="0"/>
                <w:highlight w:val="none"/>
              </w:rPr>
              <w:t>1</w:t>
            </w:r>
            <w:r>
              <w:rPr>
                <w:rFonts w:hint="eastAsia" w:ascii="仿宋_GB2312" w:hAnsi="宋体" w:cs="仿宋_GB2312"/>
                <w:kern w:val="0"/>
                <w:highlight w:val="none"/>
              </w:rPr>
              <w:t>、部门预算项目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、省直专项</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3</w:t>
            </w:r>
            <w:r>
              <w:rPr>
                <w:rFonts w:hint="eastAsia" w:ascii="仿宋_GB2312" w:hAnsi="宋体" w:cs="仿宋_GB2312"/>
                <w:kern w:val="0"/>
                <w:highlight w:val="none"/>
              </w:rPr>
              <w:t>、省对下转移支付项目</w:t>
            </w:r>
            <w:r>
              <w:rPr>
                <w:rFonts w:ascii="仿宋_GB2312" w:hAnsi="宋体" w:cs="仿宋_GB2312"/>
                <w:kern w:val="0"/>
                <w:highlight w:val="none"/>
              </w:rPr>
              <w:t xml:space="preserve"> </w:t>
            </w:r>
            <w:r>
              <w:rPr>
                <w:rFonts w:hint="eastAsia" w:ascii="仿宋_GB2312" w:hAnsi="宋体" w:cs="仿宋_GB2312"/>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项目属性</w:t>
            </w:r>
          </w:p>
        </w:tc>
        <w:tc>
          <w:tcPr>
            <w:tcW w:w="6768" w:type="dxa"/>
            <w:gridSpan w:val="8"/>
            <w:vAlign w:val="center"/>
          </w:tcPr>
          <w:p>
            <w:pPr>
              <w:widowControl/>
              <w:snapToGrid w:val="0"/>
              <w:jc w:val="left"/>
              <w:rPr>
                <w:rFonts w:ascii="仿宋_GB2312" w:hAnsi="宋体" w:cs="仿宋_GB2312"/>
                <w:kern w:val="0"/>
                <w:highlight w:val="none"/>
              </w:rPr>
            </w:pPr>
            <w:r>
              <w:rPr>
                <w:rFonts w:ascii="仿宋_GB2312" w:hAnsi="宋体" w:cs="仿宋_GB2312"/>
                <w:kern w:val="0"/>
                <w:highlight w:val="none"/>
              </w:rPr>
              <w:t>1</w:t>
            </w:r>
            <w:r>
              <w:rPr>
                <w:rFonts w:hint="eastAsia" w:ascii="仿宋_GB2312" w:hAnsi="宋体" w:cs="仿宋_GB2312"/>
                <w:kern w:val="0"/>
                <w:highlight w:val="none"/>
              </w:rPr>
              <w:t>、持续性项目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、新增性项目</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项目类型</w:t>
            </w:r>
          </w:p>
        </w:tc>
        <w:tc>
          <w:tcPr>
            <w:tcW w:w="6768" w:type="dxa"/>
            <w:gridSpan w:val="8"/>
            <w:vAlign w:val="center"/>
          </w:tcPr>
          <w:p>
            <w:pPr>
              <w:widowControl/>
              <w:snapToGrid w:val="0"/>
              <w:jc w:val="left"/>
              <w:rPr>
                <w:rFonts w:ascii="仿宋_GB2312" w:hAnsi="宋体"/>
                <w:kern w:val="0"/>
                <w:highlight w:val="none"/>
              </w:rPr>
            </w:pPr>
            <w:r>
              <w:rPr>
                <w:rFonts w:ascii="仿宋_GB2312" w:hAnsi="宋体" w:cs="仿宋_GB2312"/>
                <w:kern w:val="0"/>
                <w:highlight w:val="none"/>
              </w:rPr>
              <w:t>1</w:t>
            </w:r>
            <w:r>
              <w:rPr>
                <w:rFonts w:hint="eastAsia" w:ascii="仿宋_GB2312" w:hAnsi="宋体" w:cs="仿宋_GB2312"/>
                <w:kern w:val="0"/>
                <w:highlight w:val="none"/>
              </w:rPr>
              <w:t>、常年性项目</w:t>
            </w:r>
            <w:r>
              <w:rPr>
                <w:rFonts w:ascii="仿宋_GB2312" w:hAnsi="宋体" w:cs="仿宋_GB2312"/>
                <w:kern w:val="0"/>
                <w:highlight w:val="none"/>
              </w:rPr>
              <w:t xml:space="preserve">    </w:t>
            </w:r>
            <w:r>
              <w:rPr>
                <w:rFonts w:hint="eastAsia" w:ascii="MS Mincho" w:hAnsi="MS Mincho" w:eastAsia="MS Mincho" w:cs="MS Mincho"/>
                <w:kern w:val="0"/>
                <w:highlight w:val="none"/>
              </w:rPr>
              <w:t>☑</w:t>
            </w:r>
            <w:r>
              <w:rPr>
                <w:rFonts w:ascii="仿宋_GB2312" w:hAnsi="宋体" w:cs="仿宋_GB2312"/>
                <w:kern w:val="0"/>
                <w:highlight w:val="none"/>
              </w:rPr>
              <w:t xml:space="preserve">   2</w:t>
            </w:r>
            <w:r>
              <w:rPr>
                <w:rFonts w:hint="eastAsia" w:ascii="仿宋_GB2312" w:hAnsi="宋体" w:cs="仿宋_GB2312"/>
                <w:kern w:val="0"/>
                <w:highlight w:val="none"/>
              </w:rPr>
              <w:t>、延续性项目</w:t>
            </w:r>
            <w:r>
              <w:rPr>
                <w:rFonts w:ascii="仿宋_GB2312" w:hAnsi="宋体" w:cs="仿宋_GB2312"/>
                <w:kern w:val="0"/>
                <w:highlight w:val="none"/>
              </w:rPr>
              <w:t xml:space="preserve"> </w:t>
            </w:r>
            <w:r>
              <w:rPr>
                <w:rFonts w:hint="eastAsia" w:ascii="仿宋_GB2312" w:hAnsi="宋体" w:cs="仿宋_GB2312"/>
                <w:kern w:val="0"/>
                <w:highlight w:val="none"/>
              </w:rPr>
              <w:t>□</w:t>
            </w:r>
            <w:r>
              <w:rPr>
                <w:rFonts w:ascii="仿宋_GB2312" w:hAnsi="宋体" w:cs="仿宋_GB2312"/>
                <w:kern w:val="0"/>
                <w:highlight w:val="none"/>
              </w:rPr>
              <w:t xml:space="preserve">      3</w:t>
            </w:r>
            <w:r>
              <w:rPr>
                <w:rFonts w:hint="eastAsia" w:ascii="仿宋_GB2312" w:hAnsi="宋体" w:cs="仿宋_GB2312"/>
                <w:kern w:val="0"/>
                <w:highlight w:val="none"/>
              </w:rPr>
              <w:t>、一次性项目</w:t>
            </w:r>
            <w:r>
              <w:rPr>
                <w:rFonts w:ascii="仿宋_GB2312" w:hAnsi="宋体" w:cs="仿宋_GB2312"/>
                <w:kern w:val="0"/>
                <w:highlight w:val="none"/>
              </w:rPr>
              <w:t xml:space="preserve"> </w:t>
            </w:r>
            <w:r>
              <w:rPr>
                <w:rFonts w:hint="eastAsia" w:ascii="仿宋_GB2312" w:hAnsi="宋体" w:cs="仿宋_GB2312"/>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Merge w:val="restart"/>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预算执行情况（万元）</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ascii="仿宋_GB2312" w:hAnsi="宋体" w:cs="仿宋_GB2312"/>
                <w:kern w:val="0"/>
                <w:highlight w:val="none"/>
              </w:rPr>
              <w:t>20</w:t>
            </w:r>
            <w:r>
              <w:rPr>
                <w:rFonts w:hint="eastAsia" w:ascii="仿宋_GB2312" w:hAnsi="宋体" w:cs="仿宋_GB2312"/>
                <w:kern w:val="0"/>
                <w:highlight w:val="none"/>
              </w:rPr>
              <w:t>分）</w:t>
            </w:r>
          </w:p>
        </w:tc>
        <w:tc>
          <w:tcPr>
            <w:tcW w:w="1199" w:type="dxa"/>
            <w:vAlign w:val="center"/>
          </w:tcPr>
          <w:p>
            <w:pPr>
              <w:widowControl/>
              <w:snapToGrid w:val="0"/>
              <w:jc w:val="center"/>
              <w:rPr>
                <w:rFonts w:ascii="仿宋_GB2312" w:hAnsi="宋体"/>
                <w:kern w:val="0"/>
                <w:highlight w:val="none"/>
              </w:rPr>
            </w:pPr>
          </w:p>
        </w:tc>
        <w:tc>
          <w:tcPr>
            <w:tcW w:w="1053"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预算数（</w:t>
            </w:r>
            <w:r>
              <w:rPr>
                <w:rFonts w:ascii="仿宋_GB2312" w:hAnsi="宋体" w:cs="仿宋_GB2312"/>
                <w:kern w:val="0"/>
                <w:highlight w:val="none"/>
              </w:rPr>
              <w:t>A）</w:t>
            </w:r>
          </w:p>
        </w:tc>
        <w:tc>
          <w:tcPr>
            <w:tcW w:w="1234"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执行数</w:t>
            </w:r>
            <w:r>
              <w:rPr>
                <w:rFonts w:ascii="仿宋_GB2312" w:hAnsi="宋体" w:cs="仿宋_GB2312"/>
                <w:kern w:val="0"/>
                <w:highlight w:val="none"/>
              </w:rPr>
              <w:t>（B）</w:t>
            </w:r>
          </w:p>
        </w:tc>
        <w:tc>
          <w:tcPr>
            <w:tcW w:w="1455"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执行率</w:t>
            </w:r>
            <w:r>
              <w:rPr>
                <w:rFonts w:ascii="仿宋_GB2312" w:hAnsi="宋体" w:cs="仿宋_GB2312"/>
                <w:kern w:val="0"/>
                <w:highlight w:val="none"/>
              </w:rPr>
              <w:t>（B/A）</w:t>
            </w:r>
          </w:p>
        </w:tc>
        <w:tc>
          <w:tcPr>
            <w:tcW w:w="1827"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得分</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ascii="仿宋_GB2312" w:hAnsi="宋体" w:cs="仿宋_GB2312"/>
                <w:kern w:val="0"/>
                <w:highlight w:val="none"/>
              </w:rPr>
              <w:t>20</w:t>
            </w:r>
            <w:r>
              <w:rPr>
                <w:rFonts w:hint="eastAsia" w:ascii="仿宋_GB2312" w:hAnsi="宋体" w:cs="仿宋_GB2312"/>
                <w:kern w:val="0"/>
                <w:highlight w:val="none"/>
              </w:rPr>
              <w:t>分</w:t>
            </w:r>
            <w:r>
              <w:rPr>
                <w:rFonts w:ascii="仿宋_GB2312" w:hAnsi="宋体" w:cs="仿宋_GB2312"/>
                <w:kern w:val="0"/>
                <w:highlight w:val="none"/>
              </w:rPr>
              <w:t>*</w:t>
            </w:r>
            <w:r>
              <w:rPr>
                <w:rFonts w:hint="eastAsia" w:ascii="仿宋_GB2312" w:hAnsi="宋体" w:cs="仿宋_GB2312"/>
                <w:kern w:val="0"/>
                <w:highlight w:val="none"/>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Merge w:val="continue"/>
            <w:vAlign w:val="center"/>
          </w:tcPr>
          <w:p>
            <w:pPr>
              <w:widowControl/>
              <w:snapToGrid w:val="0"/>
              <w:jc w:val="center"/>
              <w:rPr>
                <w:rFonts w:ascii="仿宋_GB2312" w:hAnsi="宋体"/>
                <w:kern w:val="0"/>
                <w:highlight w:val="none"/>
              </w:rPr>
            </w:pPr>
          </w:p>
        </w:tc>
        <w:tc>
          <w:tcPr>
            <w:tcW w:w="1199"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年度财政资金总额</w:t>
            </w:r>
          </w:p>
        </w:tc>
        <w:tc>
          <w:tcPr>
            <w:tcW w:w="1053"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68</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68</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c>
          <w:tcPr>
            <w:tcW w:w="1827"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2180"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年度绩效目标</w:t>
            </w:r>
            <w:r>
              <w:rPr>
                <w:rFonts w:ascii="仿宋_GB2312" w:hAnsi="宋体" w:cs="仿宋_GB2312"/>
                <w:kern w:val="0"/>
                <w:highlight w:val="none"/>
              </w:rPr>
              <w:t>1</w:t>
            </w:r>
          </w:p>
          <w:p>
            <w:pPr>
              <w:widowControl/>
              <w:snapToGrid w:val="0"/>
              <w:jc w:val="center"/>
              <w:rPr>
                <w:rFonts w:ascii="仿宋_GB2312" w:hAnsi="宋体"/>
                <w:kern w:val="0"/>
                <w:highlight w:val="none"/>
              </w:rPr>
            </w:pPr>
            <w:r>
              <w:rPr>
                <w:rFonts w:hint="eastAsia" w:ascii="仿宋_GB2312" w:hAnsi="宋体" w:cs="仿宋_GB2312"/>
                <w:kern w:val="0"/>
                <w:highlight w:val="none"/>
              </w:rPr>
              <w:t>（</w:t>
            </w:r>
            <w:r>
              <w:rPr>
                <w:rFonts w:hint="eastAsia" w:ascii="仿宋_GB2312" w:hAnsi="宋体" w:cs="仿宋_GB2312"/>
                <w:kern w:val="0"/>
                <w:sz w:val="20"/>
                <w:szCs w:val="20"/>
                <w:highlight w:val="none"/>
              </w:rPr>
              <w:t>80</w:t>
            </w:r>
            <w:r>
              <w:rPr>
                <w:rFonts w:hint="eastAsia" w:ascii="仿宋_GB2312" w:hAnsi="宋体" w:cs="仿宋_GB2312"/>
                <w:kern w:val="0"/>
                <w:highlight w:val="none"/>
              </w:rPr>
              <w:t>分）</w:t>
            </w:r>
          </w:p>
        </w:tc>
        <w:tc>
          <w:tcPr>
            <w:tcW w:w="1199" w:type="dxa"/>
            <w:vAlign w:val="center"/>
          </w:tcPr>
          <w:p>
            <w:pPr>
              <w:snapToGrid w:val="0"/>
              <w:jc w:val="center"/>
              <w:rPr>
                <w:rFonts w:ascii="仿宋_GB2312" w:hAnsi="宋体"/>
                <w:kern w:val="0"/>
                <w:highlight w:val="none"/>
              </w:rPr>
            </w:pPr>
            <w:r>
              <w:rPr>
                <w:rFonts w:hint="eastAsia" w:ascii="仿宋_GB2312" w:hAnsi="宋体" w:cs="仿宋_GB2312"/>
                <w:kern w:val="0"/>
                <w:highlight w:val="none"/>
              </w:rPr>
              <w:t>一级指标</w:t>
            </w: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二级指标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三级指标</w:t>
            </w:r>
          </w:p>
        </w:tc>
        <w:tc>
          <w:tcPr>
            <w:tcW w:w="1455" w:type="dxa"/>
            <w:gridSpan w:val="2"/>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年初目标值（</w:t>
            </w:r>
            <w:r>
              <w:rPr>
                <w:rFonts w:ascii="仿宋_GB2312" w:hAnsi="宋体" w:cs="仿宋_GB2312"/>
                <w:kern w:val="0"/>
                <w:highlight w:val="none"/>
              </w:rPr>
              <w:t>A</w:t>
            </w:r>
            <w:r>
              <w:rPr>
                <w:rFonts w:hint="eastAsia" w:ascii="仿宋_GB2312" w:hAnsi="宋体" w:cs="仿宋_GB2312"/>
                <w:kern w:val="0"/>
                <w:highlight w:val="none"/>
              </w:rPr>
              <w:t>）</w:t>
            </w:r>
          </w:p>
        </w:tc>
        <w:tc>
          <w:tcPr>
            <w:tcW w:w="1085" w:type="dxa"/>
            <w:vAlign w:val="center"/>
          </w:tcPr>
          <w:p>
            <w:pPr>
              <w:widowControl/>
              <w:snapToGrid w:val="0"/>
              <w:jc w:val="center"/>
              <w:rPr>
                <w:rFonts w:ascii="仿宋_GB2312" w:hAnsi="宋体" w:cs="仿宋_GB2312"/>
                <w:kern w:val="0"/>
                <w:highlight w:val="none"/>
              </w:rPr>
            </w:pPr>
            <w:r>
              <w:rPr>
                <w:rFonts w:hint="eastAsia" w:ascii="仿宋_GB2312" w:hAnsi="宋体" w:cs="仿宋_GB2312"/>
                <w:kern w:val="0"/>
                <w:highlight w:val="none"/>
              </w:rPr>
              <w:t>实际完成值（</w:t>
            </w:r>
            <w:r>
              <w:rPr>
                <w:rFonts w:ascii="仿宋_GB2312" w:hAnsi="宋体" w:cs="仿宋_GB2312"/>
                <w:kern w:val="0"/>
                <w:highlight w:val="none"/>
              </w:rPr>
              <w:t>B</w:t>
            </w:r>
            <w:r>
              <w:rPr>
                <w:rFonts w:hint="eastAsia" w:ascii="仿宋_GB2312" w:hAnsi="宋体" w:cs="仿宋_GB2312"/>
                <w:kern w:val="0"/>
                <w:highlight w:val="none"/>
              </w:rPr>
              <w:t>）</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80" w:type="dxa"/>
            <w:vMerge w:val="restart"/>
            <w:vAlign w:val="center"/>
          </w:tcPr>
          <w:p>
            <w:pPr>
              <w:snapToGrid w:val="0"/>
              <w:jc w:val="center"/>
              <w:rPr>
                <w:rFonts w:ascii="仿宋_GB2312" w:hAnsi="宋体"/>
                <w:kern w:val="0"/>
                <w:highlight w:val="none"/>
              </w:rPr>
            </w:pPr>
          </w:p>
        </w:tc>
        <w:tc>
          <w:tcPr>
            <w:tcW w:w="1199" w:type="dxa"/>
            <w:vMerge w:val="restart"/>
            <w:vAlign w:val="center"/>
          </w:tcPr>
          <w:p>
            <w:pPr>
              <w:snapToGrid w:val="0"/>
              <w:jc w:val="center"/>
              <w:rPr>
                <w:rFonts w:ascii="仿宋_GB2312" w:hAnsi="宋体"/>
                <w:kern w:val="0"/>
                <w:highlight w:val="none"/>
              </w:rPr>
            </w:pPr>
            <w:r>
              <w:rPr>
                <w:rFonts w:hint="eastAsia" w:ascii="仿宋_GB2312" w:hAnsi="宋体" w:cs="仿宋_GB2312"/>
                <w:kern w:val="0"/>
                <w:highlight w:val="none"/>
              </w:rPr>
              <w:t>产出指标</w:t>
            </w: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成本指标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项目成本控制率</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80" w:type="dxa"/>
            <w:vMerge w:val="continue"/>
            <w:vAlign w:val="center"/>
          </w:tcPr>
          <w:p>
            <w:pPr>
              <w:snapToGrid w:val="0"/>
              <w:jc w:val="center"/>
              <w:rPr>
                <w:rFonts w:ascii="仿宋_GB2312" w:hAnsi="宋体"/>
                <w:kern w:val="0"/>
                <w:highlight w:val="none"/>
              </w:rPr>
            </w:pPr>
          </w:p>
        </w:tc>
        <w:tc>
          <w:tcPr>
            <w:tcW w:w="1199" w:type="dxa"/>
            <w:vMerge w:val="continue"/>
            <w:vAlign w:val="center"/>
          </w:tcPr>
          <w:p>
            <w:pPr>
              <w:widowControl/>
              <w:snapToGrid w:val="0"/>
              <w:jc w:val="center"/>
              <w:rPr>
                <w:rFonts w:ascii="仿宋_GB2312" w:hAnsi="宋体"/>
                <w:kern w:val="0"/>
                <w:highlight w:val="none"/>
              </w:rPr>
            </w:pP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时效指标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系统故障修复响应时间</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及时</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及时</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80" w:type="dxa"/>
            <w:vMerge w:val="continue"/>
            <w:vAlign w:val="center"/>
          </w:tcPr>
          <w:p>
            <w:pPr>
              <w:snapToGrid w:val="0"/>
              <w:jc w:val="center"/>
              <w:rPr>
                <w:rFonts w:ascii="仿宋_GB2312" w:hAnsi="宋体"/>
                <w:kern w:val="0"/>
                <w:highlight w:val="none"/>
              </w:rPr>
            </w:pPr>
          </w:p>
        </w:tc>
        <w:tc>
          <w:tcPr>
            <w:tcW w:w="1199" w:type="dxa"/>
            <w:vMerge w:val="continue"/>
            <w:vAlign w:val="center"/>
          </w:tcPr>
          <w:p>
            <w:pPr>
              <w:widowControl/>
              <w:snapToGrid w:val="0"/>
              <w:jc w:val="center"/>
              <w:rPr>
                <w:rFonts w:ascii="仿宋_GB2312" w:hAnsi="宋体"/>
                <w:kern w:val="0"/>
                <w:highlight w:val="none"/>
              </w:rPr>
            </w:pP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数量指标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系统正常运行率</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80" w:type="dxa"/>
            <w:vMerge w:val="continue"/>
            <w:vAlign w:val="center"/>
          </w:tcPr>
          <w:p>
            <w:pPr>
              <w:snapToGrid w:val="0"/>
              <w:jc w:val="center"/>
              <w:rPr>
                <w:rFonts w:ascii="仿宋_GB2312" w:hAnsi="宋体"/>
                <w:kern w:val="0"/>
                <w:highlight w:val="none"/>
              </w:rPr>
            </w:pPr>
          </w:p>
        </w:tc>
        <w:tc>
          <w:tcPr>
            <w:tcW w:w="1199" w:type="dxa"/>
            <w:vMerge w:val="continue"/>
            <w:vAlign w:val="center"/>
          </w:tcPr>
          <w:p>
            <w:pPr>
              <w:widowControl/>
              <w:snapToGrid w:val="0"/>
              <w:jc w:val="center"/>
              <w:rPr>
                <w:rFonts w:ascii="仿宋_GB2312" w:hAnsi="宋体"/>
                <w:kern w:val="0"/>
                <w:highlight w:val="none"/>
              </w:rPr>
            </w:pP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时效指标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信息系统数据实时更新率</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80" w:type="dxa"/>
            <w:vMerge w:val="continue"/>
            <w:vAlign w:val="center"/>
          </w:tcPr>
          <w:p>
            <w:pPr>
              <w:widowControl/>
              <w:snapToGrid w:val="0"/>
              <w:jc w:val="center"/>
              <w:rPr>
                <w:rFonts w:ascii="仿宋_GB2312" w:hAnsi="宋体"/>
                <w:kern w:val="0"/>
                <w:highlight w:val="none"/>
              </w:rPr>
            </w:pPr>
          </w:p>
        </w:tc>
        <w:tc>
          <w:tcPr>
            <w:tcW w:w="1199" w:type="dxa"/>
            <w:vAlign w:val="center"/>
          </w:tcPr>
          <w:p>
            <w:pPr>
              <w:snapToGrid w:val="0"/>
              <w:jc w:val="center"/>
              <w:rPr>
                <w:rFonts w:ascii="仿宋_GB2312" w:hAnsi="宋体" w:cs="仿宋_GB2312"/>
                <w:kern w:val="0"/>
                <w:highlight w:val="none"/>
              </w:rPr>
            </w:pPr>
            <w:r>
              <w:rPr>
                <w:rFonts w:hint="eastAsia" w:ascii="仿宋_GB2312" w:hAnsi="宋体" w:cs="仿宋_GB2312"/>
                <w:kern w:val="0"/>
                <w:highlight w:val="none"/>
              </w:rPr>
              <w:t>效益指标</w:t>
            </w:r>
          </w:p>
        </w:tc>
        <w:tc>
          <w:tcPr>
            <w:tcW w:w="1053"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社会效益指标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档案信息共享率</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≥90%</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180" w:type="dxa"/>
            <w:vMerge w:val="continue"/>
            <w:vAlign w:val="center"/>
          </w:tcPr>
          <w:p>
            <w:pPr>
              <w:widowControl/>
              <w:snapToGrid w:val="0"/>
              <w:jc w:val="center"/>
              <w:rPr>
                <w:rFonts w:ascii="仿宋_GB2312" w:hAnsi="宋体"/>
                <w:kern w:val="0"/>
                <w:highlight w:val="none"/>
              </w:rPr>
            </w:pPr>
          </w:p>
        </w:tc>
        <w:tc>
          <w:tcPr>
            <w:tcW w:w="1199"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满意度指标</w:t>
            </w:r>
          </w:p>
        </w:tc>
        <w:tc>
          <w:tcPr>
            <w:tcW w:w="1053"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满意度指标</w:t>
            </w:r>
          </w:p>
        </w:tc>
        <w:tc>
          <w:tcPr>
            <w:tcW w:w="123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让干警和当事人满意</w:t>
            </w:r>
          </w:p>
        </w:tc>
        <w:tc>
          <w:tcPr>
            <w:tcW w:w="1455"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满意</w:t>
            </w:r>
          </w:p>
        </w:tc>
        <w:tc>
          <w:tcPr>
            <w:tcW w:w="1085" w:type="dxa"/>
            <w:vAlign w:val="center"/>
          </w:tcPr>
          <w:p>
            <w:pPr>
              <w:widowControl/>
              <w:snapToGrid w:val="0"/>
              <w:jc w:val="center"/>
              <w:rPr>
                <w:rFonts w:ascii="仿宋_GB2312" w:hAnsi="宋体"/>
                <w:kern w:val="0"/>
                <w:highlight w:val="none"/>
              </w:rPr>
            </w:pPr>
            <w:r>
              <w:rPr>
                <w:rFonts w:hint="eastAsia" w:ascii="仿宋_GB2312" w:hAnsi="宋体"/>
                <w:kern w:val="0"/>
                <w:highlight w:val="none"/>
              </w:rPr>
              <w:t>满意</w:t>
            </w:r>
          </w:p>
        </w:tc>
        <w:tc>
          <w:tcPr>
            <w:tcW w:w="754" w:type="dxa"/>
            <w:gridSpan w:val="2"/>
            <w:vAlign w:val="center"/>
          </w:tcPr>
          <w:p>
            <w:pPr>
              <w:widowControl/>
              <w:snapToGrid w:val="0"/>
              <w:jc w:val="center"/>
              <w:rPr>
                <w:rFonts w:ascii="仿宋_GB2312" w:hAnsi="宋体"/>
                <w:kern w:val="0"/>
                <w:highlight w:val="none"/>
              </w:rPr>
            </w:pPr>
            <w:r>
              <w:rPr>
                <w:rFonts w:hint="eastAsia" w:ascii="仿宋_GB2312" w:hAnsi="宋体"/>
                <w:kern w:val="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jc w:val="center"/>
        </w:trPr>
        <w:tc>
          <w:tcPr>
            <w:tcW w:w="2180" w:type="dxa"/>
            <w:vAlign w:val="center"/>
          </w:tcPr>
          <w:p>
            <w:pPr>
              <w:widowControl/>
              <w:snapToGrid w:val="0"/>
              <w:jc w:val="center"/>
              <w:rPr>
                <w:rFonts w:ascii="仿宋_GB2312" w:hAnsi="宋体"/>
                <w:kern w:val="0"/>
                <w:highlight w:val="none"/>
              </w:rPr>
            </w:pPr>
            <w:r>
              <w:rPr>
                <w:rFonts w:hint="eastAsia" w:ascii="仿宋_GB2312" w:hAnsi="宋体" w:cs="仿宋_GB2312"/>
                <w:kern w:val="0"/>
                <w:highlight w:val="none"/>
              </w:rPr>
              <w:t>总分</w:t>
            </w:r>
          </w:p>
        </w:tc>
        <w:tc>
          <w:tcPr>
            <w:tcW w:w="6768" w:type="dxa"/>
            <w:gridSpan w:val="8"/>
            <w:vAlign w:val="center"/>
          </w:tcPr>
          <w:p>
            <w:pPr>
              <w:widowControl/>
              <w:snapToGrid w:val="0"/>
              <w:jc w:val="center"/>
              <w:rPr>
                <w:rFonts w:ascii="仿宋_GB2312" w:hAnsi="宋体"/>
                <w:kern w:val="0"/>
                <w:highlight w:val="none"/>
              </w:rPr>
            </w:pPr>
            <w:r>
              <w:rPr>
                <w:rFonts w:hint="eastAsia" w:ascii="仿宋_GB2312" w:hAnsi="宋体"/>
                <w:kern w:val="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697" w:hRule="atLeast"/>
          <w:jc w:val="center"/>
        </w:trPr>
        <w:tc>
          <w:tcPr>
            <w:tcW w:w="2180" w:type="dxa"/>
            <w:vAlign w:val="center"/>
          </w:tcPr>
          <w:p>
            <w:pPr>
              <w:widowControl/>
              <w:jc w:val="center"/>
              <w:rPr>
                <w:rFonts w:ascii="仿宋_GB2312" w:hAnsi="宋体"/>
                <w:kern w:val="0"/>
                <w:highlight w:val="none"/>
              </w:rPr>
            </w:pPr>
            <w:r>
              <w:rPr>
                <w:rFonts w:hint="eastAsia" w:ascii="仿宋_GB2312" w:hAnsi="宋体" w:cs="仿宋_GB2312"/>
                <w:kern w:val="0"/>
                <w:highlight w:val="none"/>
              </w:rPr>
              <w:t>偏差大或</w:t>
            </w:r>
          </w:p>
          <w:p>
            <w:pPr>
              <w:widowControl/>
              <w:jc w:val="center"/>
              <w:rPr>
                <w:rFonts w:ascii="仿宋_GB2312" w:hAnsi="宋体"/>
                <w:kern w:val="0"/>
                <w:highlight w:val="none"/>
              </w:rPr>
            </w:pPr>
            <w:r>
              <w:rPr>
                <w:rFonts w:hint="eastAsia" w:ascii="仿宋_GB2312" w:hAnsi="宋体" w:cs="仿宋_GB2312"/>
                <w:kern w:val="0"/>
                <w:highlight w:val="none"/>
              </w:rPr>
              <w:t>目标未完成</w:t>
            </w:r>
          </w:p>
          <w:p>
            <w:pPr>
              <w:widowControl/>
              <w:jc w:val="center"/>
              <w:rPr>
                <w:rFonts w:ascii="仿宋_GB2312" w:hAnsi="宋体"/>
                <w:kern w:val="0"/>
                <w:highlight w:val="none"/>
              </w:rPr>
            </w:pPr>
            <w:r>
              <w:rPr>
                <w:rFonts w:hint="eastAsia" w:ascii="仿宋_GB2312" w:hAnsi="宋体" w:cs="仿宋_GB2312"/>
                <w:kern w:val="0"/>
                <w:highlight w:val="none"/>
              </w:rPr>
              <w:t>原因分析</w:t>
            </w:r>
          </w:p>
        </w:tc>
        <w:tc>
          <w:tcPr>
            <w:tcW w:w="6768" w:type="dxa"/>
            <w:gridSpan w:val="8"/>
            <w:vAlign w:val="center"/>
          </w:tcPr>
          <w:p>
            <w:pPr>
              <w:rPr>
                <w:rFonts w:ascii="仿宋" w:hAnsi="仿宋" w:eastAsia="仿宋" w:cs="仿宋_GB2312"/>
                <w:szCs w:val="32"/>
                <w:highlight w:val="none"/>
              </w:rPr>
            </w:pPr>
            <w:r>
              <w:rPr>
                <w:rFonts w:hint="eastAsia" w:ascii="仿宋_GB2312" w:hAnsi="宋体" w:cs="仿宋_GB2312"/>
                <w:kern w:val="0"/>
                <w:highlight w:val="none"/>
              </w:rPr>
              <w:t>我院信息化运维专项经费绩效目标基本完成，没有偏差较大的情况。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707" w:hRule="atLeast"/>
          <w:jc w:val="center"/>
        </w:trPr>
        <w:tc>
          <w:tcPr>
            <w:tcW w:w="2180" w:type="dxa"/>
            <w:vAlign w:val="center"/>
          </w:tcPr>
          <w:p>
            <w:pPr>
              <w:widowControl/>
              <w:jc w:val="center"/>
              <w:rPr>
                <w:rFonts w:ascii="仿宋_GB2312" w:hAnsi="宋体"/>
                <w:kern w:val="0"/>
                <w:highlight w:val="none"/>
              </w:rPr>
            </w:pPr>
            <w:r>
              <w:rPr>
                <w:rFonts w:hint="eastAsia" w:ascii="仿宋_GB2312" w:hAnsi="宋体" w:cs="仿宋_GB2312"/>
                <w:kern w:val="0"/>
                <w:highlight w:val="none"/>
              </w:rPr>
              <w:t>改进措施及</w:t>
            </w:r>
          </w:p>
          <w:p>
            <w:pPr>
              <w:widowControl/>
              <w:jc w:val="center"/>
              <w:rPr>
                <w:rFonts w:ascii="仿宋_GB2312" w:hAnsi="宋体"/>
                <w:kern w:val="0"/>
                <w:highlight w:val="none"/>
              </w:rPr>
            </w:pPr>
            <w:r>
              <w:rPr>
                <w:rFonts w:hint="eastAsia" w:ascii="仿宋_GB2312" w:hAnsi="宋体" w:cs="仿宋_GB2312"/>
                <w:kern w:val="0"/>
                <w:highlight w:val="none"/>
              </w:rPr>
              <w:t>结果应用方案</w:t>
            </w:r>
          </w:p>
        </w:tc>
        <w:tc>
          <w:tcPr>
            <w:tcW w:w="6768" w:type="dxa"/>
            <w:gridSpan w:val="8"/>
            <w:vAlign w:val="center"/>
          </w:tcPr>
          <w:p>
            <w:pPr>
              <w:widowControl/>
              <w:ind w:firstLine="640" w:firstLineChars="200"/>
              <w:jc w:val="left"/>
              <w:rPr>
                <w:rFonts w:ascii="仿宋_GB2312" w:hAnsi="宋体" w:cs="仿宋_GB2312"/>
                <w:kern w:val="0"/>
                <w:highlight w:val="none"/>
              </w:rPr>
            </w:pPr>
            <w:r>
              <w:rPr>
                <w:rFonts w:hint="eastAsia" w:ascii="仿宋_GB2312" w:hAnsi="宋体" w:cs="仿宋_GB2312"/>
                <w:kern w:val="0"/>
                <w:highlight w:val="none"/>
              </w:rPr>
              <w:t>保障全年我院信息化系统稳定、安全运行，及时解决各系统运行中发生的各类软、硬件故障。</w:t>
            </w:r>
          </w:p>
        </w:tc>
      </w:tr>
    </w:tbl>
    <w:p>
      <w:pPr>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宋体" w:cs="Times New Roman"/>
        <w:kern w:val="2"/>
        <w:sz w:val="18"/>
        <w:szCs w:val="18"/>
        <w:lang w:val="en-US" w:eastAsia="zh-CN" w:bidi="ar-SA"/>
      </w:rPr>
      <w:pict>
        <v:rect id="文本框 14"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宋体" w:cs="Times New Roman"/>
        <w:kern w:val="2"/>
        <w:sz w:val="18"/>
        <w:szCs w:val="18"/>
        <w:lang w:val="en-US" w:eastAsia="zh-CN" w:bidi="ar-SA"/>
      </w:rPr>
      <w:pict>
        <v:rect id="文本框 1" o:spid="_x0000_s1026" style="position:absolute;left:0;margin-top:0pt;height:1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935921">
    <w:nsid w:val="64E826F1"/>
    <w:multiLevelType w:val="singleLevel"/>
    <w:tmpl w:val="64E826F1"/>
    <w:lvl w:ilvl="0" w:tentative="1">
      <w:start w:val="3"/>
      <w:numFmt w:val="chineseCounting"/>
      <w:suff w:val="nothing"/>
      <w:lvlText w:val="%1、"/>
      <w:lvlJc w:val="left"/>
    </w:lvl>
  </w:abstractNum>
  <w:abstractNum w:abstractNumId="1692935540">
    <w:nsid w:val="64E82574"/>
    <w:multiLevelType w:val="singleLevel"/>
    <w:tmpl w:val="64E82574"/>
    <w:lvl w:ilvl="0" w:tentative="1">
      <w:start w:val="1"/>
      <w:numFmt w:val="chineseCounting"/>
      <w:suff w:val="nothing"/>
      <w:lvlText w:val="%1、"/>
      <w:lvlJc w:val="left"/>
    </w:lvl>
  </w:abstractNum>
  <w:num w:numId="1">
    <w:abstractNumId w:val="1692935540"/>
  </w:num>
  <w:num w:numId="2">
    <w:abstractNumId w:val="16929359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D58B2"/>
    <w:rsid w:val="00002B38"/>
    <w:rsid w:val="00007F64"/>
    <w:rsid w:val="00011BE8"/>
    <w:rsid w:val="000177F0"/>
    <w:rsid w:val="000275FB"/>
    <w:rsid w:val="00032C6F"/>
    <w:rsid w:val="0003756E"/>
    <w:rsid w:val="000454F7"/>
    <w:rsid w:val="00045958"/>
    <w:rsid w:val="00050702"/>
    <w:rsid w:val="00050DB5"/>
    <w:rsid w:val="00052F78"/>
    <w:rsid w:val="00063600"/>
    <w:rsid w:val="00081DAF"/>
    <w:rsid w:val="000829C1"/>
    <w:rsid w:val="0008388C"/>
    <w:rsid w:val="00086394"/>
    <w:rsid w:val="000920F8"/>
    <w:rsid w:val="00095213"/>
    <w:rsid w:val="00096F94"/>
    <w:rsid w:val="000974A8"/>
    <w:rsid w:val="000C5C7E"/>
    <w:rsid w:val="000C67BE"/>
    <w:rsid w:val="000D1490"/>
    <w:rsid w:val="000D34DE"/>
    <w:rsid w:val="000D58B2"/>
    <w:rsid w:val="000D7D43"/>
    <w:rsid w:val="000F5FE8"/>
    <w:rsid w:val="00100515"/>
    <w:rsid w:val="00113DB6"/>
    <w:rsid w:val="00127499"/>
    <w:rsid w:val="001332C3"/>
    <w:rsid w:val="00135474"/>
    <w:rsid w:val="00135A88"/>
    <w:rsid w:val="00135E2D"/>
    <w:rsid w:val="0014688F"/>
    <w:rsid w:val="00147391"/>
    <w:rsid w:val="00163087"/>
    <w:rsid w:val="00164546"/>
    <w:rsid w:val="0017375A"/>
    <w:rsid w:val="00193CC2"/>
    <w:rsid w:val="00195C8B"/>
    <w:rsid w:val="00197B80"/>
    <w:rsid w:val="001A4784"/>
    <w:rsid w:val="001B34E3"/>
    <w:rsid w:val="001B3EFB"/>
    <w:rsid w:val="001B4FE6"/>
    <w:rsid w:val="001B73F9"/>
    <w:rsid w:val="001C340F"/>
    <w:rsid w:val="001C7769"/>
    <w:rsid w:val="001D2FF3"/>
    <w:rsid w:val="001D3A2B"/>
    <w:rsid w:val="001F16C0"/>
    <w:rsid w:val="001F7622"/>
    <w:rsid w:val="00203C41"/>
    <w:rsid w:val="002229D2"/>
    <w:rsid w:val="00225AA4"/>
    <w:rsid w:val="00240C3B"/>
    <w:rsid w:val="002446BC"/>
    <w:rsid w:val="002626BE"/>
    <w:rsid w:val="00266C77"/>
    <w:rsid w:val="002759EA"/>
    <w:rsid w:val="002824CC"/>
    <w:rsid w:val="002A16CC"/>
    <w:rsid w:val="002A39F4"/>
    <w:rsid w:val="002A47AC"/>
    <w:rsid w:val="002B1823"/>
    <w:rsid w:val="002C17ED"/>
    <w:rsid w:val="002C5703"/>
    <w:rsid w:val="002E3AD6"/>
    <w:rsid w:val="002F0B2C"/>
    <w:rsid w:val="002F2B42"/>
    <w:rsid w:val="002F4BE2"/>
    <w:rsid w:val="002F4E95"/>
    <w:rsid w:val="00310678"/>
    <w:rsid w:val="003226CD"/>
    <w:rsid w:val="0033534F"/>
    <w:rsid w:val="0033546B"/>
    <w:rsid w:val="0034495A"/>
    <w:rsid w:val="00346011"/>
    <w:rsid w:val="00350C02"/>
    <w:rsid w:val="0035321A"/>
    <w:rsid w:val="00357596"/>
    <w:rsid w:val="00364311"/>
    <w:rsid w:val="00370CAE"/>
    <w:rsid w:val="003758E8"/>
    <w:rsid w:val="003804AE"/>
    <w:rsid w:val="003820E7"/>
    <w:rsid w:val="003921DF"/>
    <w:rsid w:val="00394660"/>
    <w:rsid w:val="00397447"/>
    <w:rsid w:val="003A6C84"/>
    <w:rsid w:val="003A6FB9"/>
    <w:rsid w:val="003C069C"/>
    <w:rsid w:val="003C5B53"/>
    <w:rsid w:val="003E394C"/>
    <w:rsid w:val="003F0354"/>
    <w:rsid w:val="003F1915"/>
    <w:rsid w:val="00405043"/>
    <w:rsid w:val="004174AC"/>
    <w:rsid w:val="00423D9E"/>
    <w:rsid w:val="00436F7D"/>
    <w:rsid w:val="00447A8B"/>
    <w:rsid w:val="004539D2"/>
    <w:rsid w:val="0046210C"/>
    <w:rsid w:val="00472993"/>
    <w:rsid w:val="00473883"/>
    <w:rsid w:val="00474272"/>
    <w:rsid w:val="004811FF"/>
    <w:rsid w:val="004848C4"/>
    <w:rsid w:val="00487043"/>
    <w:rsid w:val="004A7586"/>
    <w:rsid w:val="004B075C"/>
    <w:rsid w:val="004B35FE"/>
    <w:rsid w:val="004C7C87"/>
    <w:rsid w:val="004E275A"/>
    <w:rsid w:val="004E48F5"/>
    <w:rsid w:val="004F484C"/>
    <w:rsid w:val="00500740"/>
    <w:rsid w:val="00501C4B"/>
    <w:rsid w:val="00507C5E"/>
    <w:rsid w:val="00511402"/>
    <w:rsid w:val="00512AD0"/>
    <w:rsid w:val="00524A65"/>
    <w:rsid w:val="0052604C"/>
    <w:rsid w:val="00527C2C"/>
    <w:rsid w:val="00533ED1"/>
    <w:rsid w:val="00545B04"/>
    <w:rsid w:val="00547E57"/>
    <w:rsid w:val="00555D36"/>
    <w:rsid w:val="00591519"/>
    <w:rsid w:val="00594B1C"/>
    <w:rsid w:val="00596393"/>
    <w:rsid w:val="00597C71"/>
    <w:rsid w:val="005A334B"/>
    <w:rsid w:val="005B3F65"/>
    <w:rsid w:val="005B5EFB"/>
    <w:rsid w:val="005C097C"/>
    <w:rsid w:val="005C6CF7"/>
    <w:rsid w:val="005D12E6"/>
    <w:rsid w:val="005D31AE"/>
    <w:rsid w:val="005E1125"/>
    <w:rsid w:val="005E1F99"/>
    <w:rsid w:val="005E2456"/>
    <w:rsid w:val="005E468D"/>
    <w:rsid w:val="005F43EC"/>
    <w:rsid w:val="0060516C"/>
    <w:rsid w:val="00617A67"/>
    <w:rsid w:val="00625406"/>
    <w:rsid w:val="006302A0"/>
    <w:rsid w:val="00631BEB"/>
    <w:rsid w:val="006352B1"/>
    <w:rsid w:val="00637F04"/>
    <w:rsid w:val="00640E84"/>
    <w:rsid w:val="006454F2"/>
    <w:rsid w:val="00657BD6"/>
    <w:rsid w:val="006630A7"/>
    <w:rsid w:val="00664C04"/>
    <w:rsid w:val="006706B7"/>
    <w:rsid w:val="00693A81"/>
    <w:rsid w:val="006A6719"/>
    <w:rsid w:val="006B2E6A"/>
    <w:rsid w:val="006E5280"/>
    <w:rsid w:val="006F25A5"/>
    <w:rsid w:val="006F5BFE"/>
    <w:rsid w:val="00723190"/>
    <w:rsid w:val="007239D9"/>
    <w:rsid w:val="007411B1"/>
    <w:rsid w:val="0074522A"/>
    <w:rsid w:val="00750B6B"/>
    <w:rsid w:val="0075234C"/>
    <w:rsid w:val="007531FC"/>
    <w:rsid w:val="007678B4"/>
    <w:rsid w:val="007758E6"/>
    <w:rsid w:val="0078237C"/>
    <w:rsid w:val="00786EAA"/>
    <w:rsid w:val="00787231"/>
    <w:rsid w:val="007879EC"/>
    <w:rsid w:val="00793D4D"/>
    <w:rsid w:val="007A4F3B"/>
    <w:rsid w:val="007A7693"/>
    <w:rsid w:val="007C11D1"/>
    <w:rsid w:val="007D6FE6"/>
    <w:rsid w:val="007E21F6"/>
    <w:rsid w:val="007F51AF"/>
    <w:rsid w:val="0080496D"/>
    <w:rsid w:val="00810D0A"/>
    <w:rsid w:val="0081235E"/>
    <w:rsid w:val="00816B88"/>
    <w:rsid w:val="00822445"/>
    <w:rsid w:val="00833B8F"/>
    <w:rsid w:val="008371E6"/>
    <w:rsid w:val="00842F58"/>
    <w:rsid w:val="008619D6"/>
    <w:rsid w:val="0087409C"/>
    <w:rsid w:val="0087773B"/>
    <w:rsid w:val="00877BF3"/>
    <w:rsid w:val="00881EAD"/>
    <w:rsid w:val="00887F97"/>
    <w:rsid w:val="00893354"/>
    <w:rsid w:val="008B005B"/>
    <w:rsid w:val="008B5FF4"/>
    <w:rsid w:val="008C300C"/>
    <w:rsid w:val="008E195E"/>
    <w:rsid w:val="008E1FF9"/>
    <w:rsid w:val="008E3553"/>
    <w:rsid w:val="008E472C"/>
    <w:rsid w:val="008E68A7"/>
    <w:rsid w:val="008F28D7"/>
    <w:rsid w:val="008F3493"/>
    <w:rsid w:val="008F60D5"/>
    <w:rsid w:val="0090371F"/>
    <w:rsid w:val="0092421D"/>
    <w:rsid w:val="00924EF4"/>
    <w:rsid w:val="00925232"/>
    <w:rsid w:val="00930DED"/>
    <w:rsid w:val="0093244F"/>
    <w:rsid w:val="00934805"/>
    <w:rsid w:val="009504C6"/>
    <w:rsid w:val="00960897"/>
    <w:rsid w:val="00961E40"/>
    <w:rsid w:val="009750B0"/>
    <w:rsid w:val="009849CE"/>
    <w:rsid w:val="00990A6C"/>
    <w:rsid w:val="009A0B3E"/>
    <w:rsid w:val="009A131B"/>
    <w:rsid w:val="009A45DE"/>
    <w:rsid w:val="009A5BC7"/>
    <w:rsid w:val="009B7A03"/>
    <w:rsid w:val="009C0F0D"/>
    <w:rsid w:val="009C5DA0"/>
    <w:rsid w:val="009C7EC1"/>
    <w:rsid w:val="009D04D4"/>
    <w:rsid w:val="009D491C"/>
    <w:rsid w:val="009D634B"/>
    <w:rsid w:val="009D727E"/>
    <w:rsid w:val="009E6F30"/>
    <w:rsid w:val="009F35B5"/>
    <w:rsid w:val="00A04AF7"/>
    <w:rsid w:val="00A055DA"/>
    <w:rsid w:val="00A05E0A"/>
    <w:rsid w:val="00A107A3"/>
    <w:rsid w:val="00A152A2"/>
    <w:rsid w:val="00A26198"/>
    <w:rsid w:val="00A307A6"/>
    <w:rsid w:val="00A34C7F"/>
    <w:rsid w:val="00A53DD2"/>
    <w:rsid w:val="00A55D7D"/>
    <w:rsid w:val="00A57E42"/>
    <w:rsid w:val="00A72527"/>
    <w:rsid w:val="00A72FE9"/>
    <w:rsid w:val="00A734A5"/>
    <w:rsid w:val="00A74687"/>
    <w:rsid w:val="00A80DE4"/>
    <w:rsid w:val="00A91686"/>
    <w:rsid w:val="00AA4B16"/>
    <w:rsid w:val="00AB08B3"/>
    <w:rsid w:val="00AC243F"/>
    <w:rsid w:val="00AC57BF"/>
    <w:rsid w:val="00AD5178"/>
    <w:rsid w:val="00AD5AC6"/>
    <w:rsid w:val="00AD7673"/>
    <w:rsid w:val="00AE1416"/>
    <w:rsid w:val="00AF07BF"/>
    <w:rsid w:val="00AF57AB"/>
    <w:rsid w:val="00AF66AE"/>
    <w:rsid w:val="00B00F6B"/>
    <w:rsid w:val="00B03243"/>
    <w:rsid w:val="00B0494E"/>
    <w:rsid w:val="00B049BF"/>
    <w:rsid w:val="00B07999"/>
    <w:rsid w:val="00B1074B"/>
    <w:rsid w:val="00B2522F"/>
    <w:rsid w:val="00B2674A"/>
    <w:rsid w:val="00B3006A"/>
    <w:rsid w:val="00B3192C"/>
    <w:rsid w:val="00B35036"/>
    <w:rsid w:val="00B4528C"/>
    <w:rsid w:val="00B50F80"/>
    <w:rsid w:val="00B51F6B"/>
    <w:rsid w:val="00B65300"/>
    <w:rsid w:val="00B65471"/>
    <w:rsid w:val="00B770A9"/>
    <w:rsid w:val="00B91CFD"/>
    <w:rsid w:val="00B94F92"/>
    <w:rsid w:val="00BA4DDC"/>
    <w:rsid w:val="00BB6A92"/>
    <w:rsid w:val="00BC1553"/>
    <w:rsid w:val="00BE48EC"/>
    <w:rsid w:val="00BE506C"/>
    <w:rsid w:val="00BF2502"/>
    <w:rsid w:val="00BF3459"/>
    <w:rsid w:val="00BF569A"/>
    <w:rsid w:val="00C01D59"/>
    <w:rsid w:val="00C03B35"/>
    <w:rsid w:val="00C16007"/>
    <w:rsid w:val="00C23DD5"/>
    <w:rsid w:val="00C26937"/>
    <w:rsid w:val="00C34B9C"/>
    <w:rsid w:val="00C36A4F"/>
    <w:rsid w:val="00C5020D"/>
    <w:rsid w:val="00C54BE7"/>
    <w:rsid w:val="00C6497E"/>
    <w:rsid w:val="00C66001"/>
    <w:rsid w:val="00C726CA"/>
    <w:rsid w:val="00C752BA"/>
    <w:rsid w:val="00C86BA8"/>
    <w:rsid w:val="00C917D1"/>
    <w:rsid w:val="00C942FC"/>
    <w:rsid w:val="00C95417"/>
    <w:rsid w:val="00C97D33"/>
    <w:rsid w:val="00CA0113"/>
    <w:rsid w:val="00CA1872"/>
    <w:rsid w:val="00CB2915"/>
    <w:rsid w:val="00CC2E48"/>
    <w:rsid w:val="00CD1F9E"/>
    <w:rsid w:val="00CF16F2"/>
    <w:rsid w:val="00D00930"/>
    <w:rsid w:val="00D00CDD"/>
    <w:rsid w:val="00D0245A"/>
    <w:rsid w:val="00D138E8"/>
    <w:rsid w:val="00D14F66"/>
    <w:rsid w:val="00D200E3"/>
    <w:rsid w:val="00D50AAA"/>
    <w:rsid w:val="00D54701"/>
    <w:rsid w:val="00D612E0"/>
    <w:rsid w:val="00D66949"/>
    <w:rsid w:val="00D6701B"/>
    <w:rsid w:val="00D712E7"/>
    <w:rsid w:val="00D76D41"/>
    <w:rsid w:val="00D82CF8"/>
    <w:rsid w:val="00D8423D"/>
    <w:rsid w:val="00D858C0"/>
    <w:rsid w:val="00D9381F"/>
    <w:rsid w:val="00D9701A"/>
    <w:rsid w:val="00DA1859"/>
    <w:rsid w:val="00DB31D1"/>
    <w:rsid w:val="00DC30FA"/>
    <w:rsid w:val="00DD6EE0"/>
    <w:rsid w:val="00DE525D"/>
    <w:rsid w:val="00DE5490"/>
    <w:rsid w:val="00DF1BA5"/>
    <w:rsid w:val="00DF526A"/>
    <w:rsid w:val="00E028FF"/>
    <w:rsid w:val="00E0642D"/>
    <w:rsid w:val="00E11981"/>
    <w:rsid w:val="00E15547"/>
    <w:rsid w:val="00E2376B"/>
    <w:rsid w:val="00E25E0B"/>
    <w:rsid w:val="00E42776"/>
    <w:rsid w:val="00E44A29"/>
    <w:rsid w:val="00E5499A"/>
    <w:rsid w:val="00E56FEE"/>
    <w:rsid w:val="00E57592"/>
    <w:rsid w:val="00E61D8A"/>
    <w:rsid w:val="00E63A79"/>
    <w:rsid w:val="00E80713"/>
    <w:rsid w:val="00E9293F"/>
    <w:rsid w:val="00EA1D88"/>
    <w:rsid w:val="00EA4ECF"/>
    <w:rsid w:val="00EB0E49"/>
    <w:rsid w:val="00EB6D1F"/>
    <w:rsid w:val="00EE4420"/>
    <w:rsid w:val="00EE608A"/>
    <w:rsid w:val="00EE6E5E"/>
    <w:rsid w:val="00F06B06"/>
    <w:rsid w:val="00F07BD6"/>
    <w:rsid w:val="00F14117"/>
    <w:rsid w:val="00F16234"/>
    <w:rsid w:val="00F26324"/>
    <w:rsid w:val="00F424CC"/>
    <w:rsid w:val="00F4684F"/>
    <w:rsid w:val="00F5321A"/>
    <w:rsid w:val="00F55777"/>
    <w:rsid w:val="00F559A7"/>
    <w:rsid w:val="00F5781B"/>
    <w:rsid w:val="00F657AF"/>
    <w:rsid w:val="00F7390B"/>
    <w:rsid w:val="00F773E3"/>
    <w:rsid w:val="00F77452"/>
    <w:rsid w:val="00F84B04"/>
    <w:rsid w:val="00F87A00"/>
    <w:rsid w:val="00F928ED"/>
    <w:rsid w:val="00FA2607"/>
    <w:rsid w:val="00FB1016"/>
    <w:rsid w:val="00FB2D4B"/>
    <w:rsid w:val="00FC02A4"/>
    <w:rsid w:val="00FC2BF0"/>
    <w:rsid w:val="00FC5DB9"/>
    <w:rsid w:val="00FD2CFA"/>
    <w:rsid w:val="00FD56AF"/>
    <w:rsid w:val="00FE1C5F"/>
    <w:rsid w:val="00FE6DCC"/>
    <w:rsid w:val="00FF1C6A"/>
    <w:rsid w:val="00FF731B"/>
    <w:rsid w:val="03957F6E"/>
    <w:rsid w:val="1B3D393E"/>
    <w:rsid w:val="2A9A1CF1"/>
    <w:rsid w:val="2C190B2D"/>
    <w:rsid w:val="2ECB6DFF"/>
    <w:rsid w:val="38E472E3"/>
    <w:rsid w:val="3CEF5B84"/>
    <w:rsid w:val="3DE14E0F"/>
    <w:rsid w:val="403119BA"/>
    <w:rsid w:val="56852841"/>
    <w:rsid w:val="6C98473A"/>
    <w:rsid w:val="77B371EB"/>
    <w:rsid w:val="7AE51E51"/>
    <w:rsid w:val="7BBB70A3"/>
    <w:rsid w:val="7E385DB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40"/>
    <w:unhideWhenUsed/>
    <w:qFormat/>
    <w:uiPriority w:val="0"/>
    <w:pPr>
      <w:keepNext/>
      <w:keepLines/>
      <w:spacing w:before="260" w:after="260" w:line="416" w:lineRule="auto"/>
      <w:outlineLvl w:val="2"/>
    </w:pPr>
    <w:rPr>
      <w:b/>
      <w:bCs/>
      <w:szCs w:val="32"/>
    </w:rPr>
  </w:style>
  <w:style w:type="character" w:default="1" w:styleId="22">
    <w:name w:val="Default Paragraph Font"/>
    <w:unhideWhenUsed/>
    <w:uiPriority w:val="1"/>
  </w:style>
  <w:style w:type="table" w:default="1" w:styleId="24">
    <w:name w:val="Normal Table"/>
    <w:unhideWhenUsed/>
    <w:uiPriority w:val="99"/>
    <w:tblPr>
      <w:tblStyle w:val="24"/>
      <w:tblLayout w:type="fixed"/>
      <w:tblCellMar>
        <w:top w:w="0" w:type="dxa"/>
        <w:left w:w="108" w:type="dxa"/>
        <w:bottom w:w="0" w:type="dxa"/>
        <w:right w:w="108" w:type="dxa"/>
      </w:tblCellMar>
    </w:tblPr>
    <w:tcPr>
      <w:textDirection w:val="lrTb"/>
    </w:tcPr>
  </w:style>
  <w:style w:type="paragraph" w:styleId="4">
    <w:name w:val="toc 7"/>
    <w:basedOn w:val="1"/>
    <w:next w:val="1"/>
    <w:unhideWhenUsed/>
    <w:uiPriority w:val="39"/>
    <w:pPr>
      <w:ind w:left="2520" w:leftChars="1200"/>
    </w:pPr>
    <w:rPr>
      <w:rFonts w:ascii="Calibri" w:hAnsi="Calibri" w:eastAsia="宋体" w:cs="黑体"/>
      <w:sz w:val="21"/>
    </w:rPr>
  </w:style>
  <w:style w:type="paragraph" w:styleId="5">
    <w:name w:val="Body Text First Indent"/>
    <w:basedOn w:val="6"/>
    <w:link w:val="39"/>
    <w:uiPriority w:val="0"/>
    <w:pPr>
      <w:spacing w:after="120"/>
      <w:ind w:left="0" w:firstLine="420" w:firstLineChars="100"/>
    </w:pPr>
    <w:rPr>
      <w:rFonts w:ascii="Times New Roman" w:hAnsi="Times New Roman" w:cs="Times New Roman"/>
      <w:szCs w:val="22"/>
      <w:lang w:val="en-US" w:bidi="ar-SA"/>
    </w:rPr>
  </w:style>
  <w:style w:type="paragraph" w:styleId="6">
    <w:name w:val="Body Text"/>
    <w:basedOn w:val="1"/>
    <w:next w:val="1"/>
    <w:link w:val="35"/>
    <w:qFormat/>
    <w:uiPriority w:val="1"/>
    <w:pPr>
      <w:ind w:left="231"/>
    </w:pPr>
    <w:rPr>
      <w:rFonts w:ascii="仿宋_GB2312" w:hAnsi="仿宋_GB2312" w:cs="仿宋_GB2312"/>
      <w:szCs w:val="32"/>
      <w:lang w:val="zh-CN" w:bidi="zh-CN"/>
    </w:rPr>
  </w:style>
  <w:style w:type="paragraph" w:styleId="7">
    <w:name w:val="Body Text Indent"/>
    <w:basedOn w:val="1"/>
    <w:link w:val="36"/>
    <w:uiPriority w:val="0"/>
    <w:pPr>
      <w:spacing w:after="120"/>
      <w:ind w:left="420" w:leftChars="200"/>
    </w:pPr>
  </w:style>
  <w:style w:type="paragraph" w:styleId="8">
    <w:name w:val="toc 5"/>
    <w:basedOn w:val="1"/>
    <w:next w:val="1"/>
    <w:unhideWhenUsed/>
    <w:uiPriority w:val="39"/>
    <w:pPr>
      <w:ind w:left="1680" w:leftChars="800"/>
    </w:pPr>
    <w:rPr>
      <w:rFonts w:ascii="Calibri" w:hAnsi="Calibri" w:eastAsia="宋体" w:cs="黑体"/>
      <w:sz w:val="21"/>
    </w:r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黑体"/>
      <w:kern w:val="0"/>
      <w:sz w:val="22"/>
    </w:rPr>
  </w:style>
  <w:style w:type="paragraph" w:styleId="10">
    <w:name w:val="toc 8"/>
    <w:basedOn w:val="1"/>
    <w:next w:val="1"/>
    <w:unhideWhenUsed/>
    <w:uiPriority w:val="39"/>
    <w:pPr>
      <w:ind w:left="2940" w:leftChars="1400"/>
    </w:pPr>
    <w:rPr>
      <w:rFonts w:ascii="Calibri" w:hAnsi="Calibri" w:eastAsia="宋体" w:cs="黑体"/>
      <w:sz w:val="21"/>
    </w:rPr>
  </w:style>
  <w:style w:type="paragraph" w:styleId="11">
    <w:name w:val="Balloon Text"/>
    <w:basedOn w:val="1"/>
    <w:link w:val="32"/>
    <w:uiPriority w:val="0"/>
    <w:rPr>
      <w:sz w:val="18"/>
      <w:szCs w:val="18"/>
    </w:rPr>
  </w:style>
  <w:style w:type="paragraph" w:styleId="12">
    <w:name w:val="footer"/>
    <w:basedOn w:val="1"/>
    <w:link w:val="31"/>
    <w:qFormat/>
    <w:uiPriority w:val="0"/>
    <w:pPr>
      <w:tabs>
        <w:tab w:val="center" w:pos="4153"/>
        <w:tab w:val="right" w:pos="8306"/>
      </w:tabs>
      <w:snapToGrid w:val="0"/>
      <w:jc w:val="left"/>
    </w:pPr>
    <w:rPr>
      <w:rFonts w:eastAsia="宋体"/>
      <w:sz w:val="18"/>
      <w:szCs w:val="18"/>
    </w:rPr>
  </w:style>
  <w:style w:type="paragraph" w:styleId="13">
    <w:name w:val="Body Text First Indent 2"/>
    <w:basedOn w:val="7"/>
    <w:next w:val="5"/>
    <w:link w:val="37"/>
    <w:qFormat/>
    <w:uiPriority w:val="0"/>
    <w:pPr>
      <w:ind w:firstLine="420" w:firstLineChars="200"/>
    </w:pPr>
    <w:rPr>
      <w:rFonts w:ascii="等线" w:hAnsi="等线" w:eastAsia="等线" w:cs="等线"/>
      <w:sz w:val="21"/>
      <w:szCs w:val="21"/>
    </w:rPr>
  </w:style>
  <w:style w:type="paragraph" w:styleId="14">
    <w:name w:val="header"/>
    <w:basedOn w:val="1"/>
    <w:link w:val="30"/>
    <w:uiPriority w:val="0"/>
    <w:pPr>
      <w:pBdr>
        <w:bottom w:val="single" w:color="auto" w:sz="6" w:space="1"/>
      </w:pBdr>
      <w:tabs>
        <w:tab w:val="center" w:pos="4153"/>
        <w:tab w:val="right" w:pos="8306"/>
      </w:tabs>
      <w:snapToGrid w:val="0"/>
      <w:jc w:val="center"/>
    </w:pPr>
    <w:rPr>
      <w:rFonts w:eastAsia="宋体"/>
      <w:sz w:val="18"/>
      <w:szCs w:val="18"/>
    </w:rPr>
  </w:style>
  <w:style w:type="paragraph" w:styleId="15">
    <w:name w:val="toc 1"/>
    <w:basedOn w:val="1"/>
    <w:next w:val="1"/>
    <w:unhideWhenUsed/>
    <w:qFormat/>
    <w:uiPriority w:val="39"/>
    <w:pPr>
      <w:widowControl/>
      <w:spacing w:after="100" w:line="276" w:lineRule="auto"/>
      <w:jc w:val="left"/>
    </w:pPr>
    <w:rPr>
      <w:rFonts w:ascii="Calibri" w:hAnsi="Calibri" w:eastAsia="宋体" w:cs="黑体"/>
      <w:kern w:val="0"/>
      <w:sz w:val="22"/>
    </w:rPr>
  </w:style>
  <w:style w:type="paragraph" w:styleId="16">
    <w:name w:val="toc 4"/>
    <w:basedOn w:val="1"/>
    <w:next w:val="1"/>
    <w:unhideWhenUsed/>
    <w:uiPriority w:val="39"/>
    <w:pPr>
      <w:ind w:left="1260" w:leftChars="600"/>
    </w:pPr>
    <w:rPr>
      <w:rFonts w:ascii="Calibri" w:hAnsi="Calibri" w:eastAsia="宋体" w:cs="黑体"/>
      <w:sz w:val="21"/>
    </w:rPr>
  </w:style>
  <w:style w:type="paragraph" w:styleId="17">
    <w:name w:val="toc 6"/>
    <w:basedOn w:val="1"/>
    <w:next w:val="1"/>
    <w:unhideWhenUsed/>
    <w:uiPriority w:val="39"/>
    <w:pPr>
      <w:ind w:left="2100" w:leftChars="1000"/>
    </w:pPr>
    <w:rPr>
      <w:rFonts w:ascii="Calibri" w:hAnsi="Calibri" w:eastAsia="宋体" w:cs="黑体"/>
      <w:sz w:val="21"/>
    </w:rPr>
  </w:style>
  <w:style w:type="paragraph" w:styleId="18">
    <w:name w:val="toc 2"/>
    <w:basedOn w:val="1"/>
    <w:next w:val="1"/>
    <w:unhideWhenUsed/>
    <w:qFormat/>
    <w:uiPriority w:val="39"/>
    <w:pPr>
      <w:widowControl/>
      <w:spacing w:after="100" w:line="276" w:lineRule="auto"/>
      <w:ind w:left="220"/>
      <w:jc w:val="left"/>
    </w:pPr>
    <w:rPr>
      <w:rFonts w:ascii="Calibri" w:hAnsi="Calibri" w:eastAsia="宋体" w:cs="黑体"/>
      <w:kern w:val="0"/>
      <w:sz w:val="22"/>
    </w:rPr>
  </w:style>
  <w:style w:type="paragraph" w:styleId="19">
    <w:name w:val="toc 9"/>
    <w:basedOn w:val="1"/>
    <w:next w:val="1"/>
    <w:unhideWhenUsed/>
    <w:uiPriority w:val="39"/>
    <w:pPr>
      <w:ind w:left="3360" w:leftChars="1600"/>
    </w:pPr>
    <w:rPr>
      <w:rFonts w:ascii="Calibri" w:hAnsi="Calibri" w:eastAsia="宋体" w:cs="黑体"/>
      <w:sz w:val="21"/>
    </w:rPr>
  </w:style>
  <w:style w:type="paragraph" w:styleId="20">
    <w:name w:val="Normal (Web)"/>
    <w:basedOn w:val="1"/>
    <w:unhideWhenUsed/>
    <w:uiPriority w:val="0"/>
    <w:pPr>
      <w:spacing w:before="100" w:beforeAutospacing="1" w:after="100" w:afterAutospacing="1"/>
    </w:pPr>
    <w:rPr>
      <w:rFonts w:ascii="Calibri" w:hAnsi="Calibri" w:eastAsia="宋体"/>
      <w:sz w:val="24"/>
    </w:rPr>
  </w:style>
  <w:style w:type="paragraph" w:styleId="21">
    <w:name w:val="Title"/>
    <w:basedOn w:val="1"/>
    <w:next w:val="1"/>
    <w:link w:val="33"/>
    <w:qFormat/>
    <w:uiPriority w:val="0"/>
    <w:pPr>
      <w:spacing w:before="240" w:after="60"/>
      <w:jc w:val="center"/>
      <w:outlineLvl w:val="0"/>
    </w:pPr>
    <w:rPr>
      <w:rFonts w:ascii="Cambria" w:hAnsi="Cambria" w:eastAsia="宋体" w:cs="黑体"/>
      <w:b/>
      <w:bCs/>
      <w:szCs w:val="32"/>
    </w:rPr>
  </w:style>
  <w:style w:type="character" w:styleId="23">
    <w:name w:val="Hyperlink"/>
    <w:unhideWhenUsed/>
    <w:uiPriority w:val="99"/>
    <w:rPr>
      <w:color w:val="0000FF"/>
      <w:u w:val="single"/>
    </w:rPr>
  </w:style>
  <w:style w:type="paragraph" w:customStyle="1" w:styleId="25">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正文缩进 + 首行缩进:  2 字符"/>
    <w:basedOn w:val="1"/>
    <w:qFormat/>
    <w:uiPriority w:val="0"/>
    <w:pPr>
      <w:spacing w:line="560" w:lineRule="exact"/>
      <w:ind w:firstLine="640"/>
    </w:pPr>
    <w:rPr>
      <w:rFonts w:ascii="仿宋" w:hAnsi="仿宋" w:eastAsia="仿宋" w:cs="宋体"/>
      <w:szCs w:val="20"/>
    </w:rPr>
  </w:style>
  <w:style w:type="paragraph" w:customStyle="1" w:styleId="27">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8">
    <w:name w:val="列出段落1"/>
    <w:basedOn w:val="1"/>
    <w:qFormat/>
    <w:uiPriority w:val="34"/>
    <w:pPr>
      <w:ind w:firstLine="420" w:firstLineChars="200"/>
    </w:pPr>
  </w:style>
  <w:style w:type="paragraph" w:customStyle="1" w:styleId="29">
    <w:name w:val="Body Text First Indent 21"/>
    <w:basedOn w:val="1"/>
    <w:qFormat/>
    <w:uiPriority w:val="0"/>
    <w:pPr>
      <w:ind w:firstLine="880" w:firstLineChars="200"/>
    </w:pPr>
    <w:rPr>
      <w:rFonts w:ascii="等线" w:hAnsi="等线" w:eastAsia="等线" w:cs="等线"/>
      <w:sz w:val="21"/>
      <w:szCs w:val="21"/>
    </w:rPr>
  </w:style>
  <w:style w:type="character" w:customStyle="1" w:styleId="30">
    <w:name w:val="页眉 Char"/>
    <w:link w:val="14"/>
    <w:uiPriority w:val="0"/>
    <w:rPr>
      <w:kern w:val="2"/>
      <w:sz w:val="18"/>
      <w:szCs w:val="18"/>
    </w:rPr>
  </w:style>
  <w:style w:type="character" w:customStyle="1" w:styleId="31">
    <w:name w:val="页脚 Char"/>
    <w:link w:val="12"/>
    <w:uiPriority w:val="0"/>
    <w:rPr>
      <w:kern w:val="2"/>
      <w:sz w:val="18"/>
      <w:szCs w:val="18"/>
    </w:rPr>
  </w:style>
  <w:style w:type="character" w:customStyle="1" w:styleId="32">
    <w:name w:val="批注框文本 Char"/>
    <w:link w:val="11"/>
    <w:uiPriority w:val="0"/>
    <w:rPr>
      <w:rFonts w:eastAsia="仿宋_GB2312"/>
      <w:kern w:val="2"/>
      <w:sz w:val="18"/>
      <w:szCs w:val="18"/>
    </w:rPr>
  </w:style>
  <w:style w:type="character" w:customStyle="1" w:styleId="33">
    <w:name w:val="标题 Char"/>
    <w:link w:val="21"/>
    <w:uiPriority w:val="0"/>
    <w:rPr>
      <w:rFonts w:ascii="Cambria" w:hAnsi="Cambria" w:cs="黑体"/>
      <w:b/>
      <w:bCs/>
      <w:kern w:val="2"/>
      <w:sz w:val="32"/>
      <w:szCs w:val="32"/>
    </w:rPr>
  </w:style>
  <w:style w:type="character" w:customStyle="1" w:styleId="34">
    <w:name w:val="标题 1 Char"/>
    <w:link w:val="2"/>
    <w:uiPriority w:val="0"/>
    <w:rPr>
      <w:rFonts w:eastAsia="仿宋_GB2312"/>
      <w:b/>
      <w:bCs/>
      <w:kern w:val="44"/>
      <w:sz w:val="44"/>
      <w:szCs w:val="44"/>
    </w:rPr>
  </w:style>
  <w:style w:type="character" w:customStyle="1" w:styleId="35">
    <w:name w:val="正文文本 Char"/>
    <w:link w:val="6"/>
    <w:uiPriority w:val="1"/>
    <w:rPr>
      <w:rFonts w:ascii="仿宋_GB2312" w:hAnsi="仿宋_GB2312" w:eastAsia="仿宋_GB2312" w:cs="仿宋_GB2312"/>
      <w:kern w:val="2"/>
      <w:sz w:val="32"/>
      <w:szCs w:val="32"/>
      <w:lang w:val="zh-CN" w:bidi="zh-CN"/>
    </w:rPr>
  </w:style>
  <w:style w:type="character" w:customStyle="1" w:styleId="36">
    <w:name w:val="正文文本缩进 Char"/>
    <w:link w:val="7"/>
    <w:uiPriority w:val="0"/>
    <w:rPr>
      <w:rFonts w:eastAsia="仿宋_GB2312"/>
      <w:kern w:val="2"/>
      <w:sz w:val="32"/>
      <w:szCs w:val="22"/>
    </w:rPr>
  </w:style>
  <w:style w:type="character" w:customStyle="1" w:styleId="37">
    <w:name w:val="正文首行缩进 2 Char"/>
    <w:link w:val="13"/>
    <w:uiPriority w:val="0"/>
    <w:rPr>
      <w:rFonts w:ascii="等线" w:hAnsi="等线" w:eastAsia="等线" w:cs="等线"/>
      <w:kern w:val="2"/>
      <w:sz w:val="21"/>
      <w:szCs w:val="21"/>
    </w:rPr>
  </w:style>
  <w:style w:type="character" w:customStyle="1" w:styleId="38">
    <w:name w:val="font122"/>
    <w:qFormat/>
    <w:uiPriority w:val="0"/>
    <w:rPr>
      <w:rFonts w:hint="eastAsia" w:ascii="仿宋_GB2312" w:eastAsia="仿宋_GB2312" w:cs="仿宋_GB2312"/>
      <w:color w:val="000000"/>
      <w:sz w:val="22"/>
      <w:szCs w:val="22"/>
      <w:u w:val="none"/>
    </w:rPr>
  </w:style>
  <w:style w:type="character" w:customStyle="1" w:styleId="39">
    <w:name w:val="正文首行缩进 Char"/>
    <w:link w:val="5"/>
    <w:uiPriority w:val="0"/>
    <w:rPr>
      <w:rFonts w:ascii="仿宋_GB2312" w:hAnsi="仿宋_GB2312" w:eastAsia="仿宋_GB2312" w:cs="仿宋_GB2312"/>
      <w:kern w:val="2"/>
      <w:sz w:val="32"/>
      <w:szCs w:val="32"/>
      <w:lang w:val="zh-CN" w:bidi="zh-CN"/>
    </w:rPr>
  </w:style>
  <w:style w:type="character" w:customStyle="1" w:styleId="40">
    <w:name w:val="标题 3 Char"/>
    <w:link w:val="3"/>
    <w:semiHidden/>
    <w:uiPriority w:val="0"/>
    <w:rPr>
      <w:rFonts w:eastAsia="仿宋_GB2312"/>
      <w:b/>
      <w:bCs/>
      <w:kern w:val="2"/>
      <w:sz w:val="32"/>
      <w:szCs w:val="32"/>
    </w:rPr>
  </w:style>
  <w:style w:type="character" w:customStyle="1" w:styleId="41">
    <w:name w:val="font31"/>
    <w:qFormat/>
    <w:uiPriority w:val="0"/>
    <w:rPr>
      <w:rFonts w:hint="eastAsia" w:ascii="仿宋" w:hAnsi="仿宋" w:eastAsia="仿宋" w:cs="仿宋"/>
      <w:color w:val="000000"/>
      <w:sz w:val="20"/>
      <w:szCs w:val="20"/>
      <w:u w:val="none"/>
    </w:rPr>
  </w:style>
  <w:style w:type="character" w:customStyle="1" w:styleId="42">
    <w:name w:val="font91"/>
    <w:qFormat/>
    <w:uiPriority w:val="0"/>
    <w:rPr>
      <w:rFonts w:hint="eastAsia" w:ascii="宋体" w:hAnsi="宋体" w:eastAsia="宋体" w:cs="宋体"/>
      <w:color w:val="000000"/>
      <w:sz w:val="21"/>
      <w:szCs w:val="21"/>
      <w:u w:val="none"/>
    </w:rPr>
  </w:style>
  <w:style w:type="character" w:customStyle="1" w:styleId="43">
    <w:name w:val="font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tyles" Target="style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2827</Words>
  <Characters>16114</Characters>
  <Lines>134</Lines>
  <Paragraphs>37</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2023-08-21T01:51:00Z</dcterms:created>
  <dc:creator>微软用户</dc:creator>
  <cp:lastModifiedBy>Administrator</cp:lastModifiedBy>
  <cp:lastPrinted>2023-09-04T03:30:00Z</cp:lastPrinted>
  <dcterms:modified xsi:type="dcterms:W3CDTF">2023-09-05T01:23:59Z</dcterms:modified>
  <dc:title>湖北省高级人民法院（汇总）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